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0AF35A">
      <w:pPr>
        <w:keepNext w:val="0"/>
        <w:keepLines w:val="0"/>
        <w:pageBreakBefore w:val="0"/>
        <w:widowControl/>
        <w:numPr>
          <w:ilvl w:val="0"/>
          <w:numId w:val="1"/>
        </w:numPr>
        <w:kinsoku/>
        <w:wordWrap/>
        <w:overflowPunct/>
        <w:topLinePunct w:val="0"/>
        <w:autoSpaceDE/>
        <w:autoSpaceDN/>
        <w:bidi w:val="0"/>
        <w:adjustRightInd/>
        <w:snapToGrid/>
        <w:spacing w:beforeAutospacing="0" w:after="0" w:line="360" w:lineRule="auto"/>
        <w:ind w:left="425" w:leftChars="0" w:hanging="425" w:firstLineChars="0"/>
        <w:jc w:val="left"/>
        <w:textAlignment w:val="auto"/>
        <w:outlineLvl w:val="0"/>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目的</w:t>
      </w:r>
    </w:p>
    <w:p w14:paraId="3B7F1682">
      <w:pPr>
        <w:keepNext w:val="0"/>
        <w:keepLines w:val="0"/>
        <w:pageBreakBefore w:val="0"/>
        <w:widowControl/>
        <w:kinsoku/>
        <w:wordWrap/>
        <w:overflowPunct/>
        <w:topLinePunct w:val="0"/>
        <w:autoSpaceDE/>
        <w:autoSpaceDN/>
        <w:bidi w:val="0"/>
        <w:adjustRightInd/>
        <w:snapToGrid/>
        <w:spacing w:after="0" w:line="360" w:lineRule="auto"/>
        <w:ind w:firstLine="420" w:firstLineChars="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质量保证人员以独立审查方式，从第三方的角度监控软件开发任务的执行，就项目是否正遵循已制定的计划、标准和规程，给开发人员和管理层提供反映产品和过程质量的信息和数据，使他们能适当地了解整个项目生存周期中工作产品和过程的情况，提高项目透明度，从而支持其交付高质量的软件产品。</w:t>
      </w:r>
    </w:p>
    <w:p w14:paraId="4058CCFE">
      <w:pPr>
        <w:keepNext w:val="0"/>
        <w:keepLines w:val="0"/>
        <w:pageBreakBefore w:val="0"/>
        <w:widowControl/>
        <w:numPr>
          <w:ilvl w:val="0"/>
          <w:numId w:val="1"/>
        </w:numPr>
        <w:kinsoku/>
        <w:wordWrap/>
        <w:overflowPunct/>
        <w:topLinePunct w:val="0"/>
        <w:autoSpaceDE/>
        <w:autoSpaceDN/>
        <w:bidi w:val="0"/>
        <w:adjustRightInd/>
        <w:snapToGrid/>
        <w:spacing w:beforeAutospacing="0" w:after="0" w:line="360" w:lineRule="auto"/>
        <w:ind w:left="425" w:leftChars="0" w:hanging="425" w:firstLineChars="0"/>
        <w:jc w:val="left"/>
        <w:textAlignment w:val="auto"/>
        <w:outlineLvl w:val="0"/>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范围</w:t>
      </w:r>
    </w:p>
    <w:p w14:paraId="1D721347">
      <w:pPr>
        <w:keepNext w:val="0"/>
        <w:keepLines w:val="0"/>
        <w:pageBreakBefore w:val="0"/>
        <w:widowControl/>
        <w:kinsoku/>
        <w:wordWrap/>
        <w:overflowPunct/>
        <w:topLinePunct w:val="0"/>
        <w:autoSpaceDE/>
        <w:autoSpaceDN/>
        <w:bidi w:val="0"/>
        <w:adjustRightInd/>
        <w:snapToGrid/>
        <w:spacing w:after="0" w:line="360" w:lineRule="auto"/>
        <w:ind w:firstLine="420" w:firstLineChars="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本过程文档是质量保证人员执行质量保证活动的依据和指导。本过程适用于公司和供方的所有软件项目，且贯穿于整个生命周期。</w:t>
      </w:r>
    </w:p>
    <w:p w14:paraId="731473B8">
      <w:pPr>
        <w:keepNext w:val="0"/>
        <w:keepLines w:val="0"/>
        <w:pageBreakBefore w:val="0"/>
        <w:widowControl/>
        <w:numPr>
          <w:ilvl w:val="0"/>
          <w:numId w:val="1"/>
        </w:numPr>
        <w:kinsoku/>
        <w:wordWrap/>
        <w:overflowPunct/>
        <w:topLinePunct w:val="0"/>
        <w:autoSpaceDE/>
        <w:autoSpaceDN/>
        <w:bidi w:val="0"/>
        <w:adjustRightInd/>
        <w:snapToGrid/>
        <w:spacing w:beforeAutospacing="0" w:after="0" w:line="360" w:lineRule="auto"/>
        <w:ind w:left="425" w:leftChars="0" w:hanging="425" w:firstLineChars="0"/>
        <w:jc w:val="left"/>
        <w:textAlignment w:val="auto"/>
        <w:outlineLvl w:val="0"/>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职责</w:t>
      </w:r>
    </w:p>
    <w:p w14:paraId="5E0A5BB9">
      <w:pPr>
        <w:keepNext w:val="0"/>
        <w:keepLines w:val="0"/>
        <w:pageBreakBefore w:val="0"/>
        <w:widowControl/>
        <w:kinsoku/>
        <w:wordWrap/>
        <w:overflowPunct/>
        <w:topLinePunct w:val="0"/>
        <w:autoSpaceDE/>
        <w:autoSpaceDN/>
        <w:bidi w:val="0"/>
        <w:adjustRightInd/>
        <w:snapToGrid/>
        <w:spacing w:after="0" w:line="360" w:lineRule="auto"/>
        <w:ind w:firstLine="420" w:firstLineChars="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rPr>
        <w:t>（1）</w:t>
      </w:r>
      <w:r>
        <w:rPr>
          <w:rFonts w:hint="eastAsia" w:ascii="宋体" w:hAnsi="宋体" w:eastAsia="宋体" w:cs="宋体"/>
          <w:b w:val="0"/>
          <w:bCs w:val="0"/>
          <w:sz w:val="24"/>
          <w:szCs w:val="24"/>
          <w:lang w:val="en-US" w:eastAsia="zh-CN"/>
        </w:rPr>
        <w:t>质量部</w:t>
      </w:r>
    </w:p>
    <w:p w14:paraId="5FDF5DA0">
      <w:pPr>
        <w:keepNext w:val="0"/>
        <w:keepLines w:val="0"/>
        <w:pageBreakBefore w:val="0"/>
        <w:widowControl/>
        <w:kinsoku/>
        <w:wordWrap/>
        <w:overflowPunct/>
        <w:topLinePunct w:val="0"/>
        <w:autoSpaceDE/>
        <w:autoSpaceDN/>
        <w:bidi w:val="0"/>
        <w:adjustRightInd/>
        <w:snapToGrid/>
        <w:spacing w:after="0" w:line="360" w:lineRule="auto"/>
        <w:ind w:firstLine="420" w:firstLineChars="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遵循标准和规程，从第三方的角度监控软件开发任务的执行，通过质量保证（QA：Quality Assurance）给项目人员提供已识别出的质量问题并跟踪问题的解决过程，与项目组协商不符合问题的解决措施，向公司级领导汇报</w:t>
      </w:r>
      <w:r>
        <w:rPr>
          <w:rFonts w:hint="eastAsia" w:ascii="宋体" w:hAnsi="宋体" w:eastAsia="宋体" w:cs="宋体"/>
          <w:b w:val="0"/>
          <w:bCs w:val="0"/>
          <w:sz w:val="24"/>
          <w:szCs w:val="24"/>
        </w:rPr>
        <w:t>项目组内不能解决的不符合问题。</w:t>
      </w:r>
    </w:p>
    <w:p w14:paraId="121E76A7">
      <w:pPr>
        <w:keepNext w:val="0"/>
        <w:keepLines w:val="0"/>
        <w:pageBreakBefore w:val="0"/>
        <w:widowControl/>
        <w:kinsoku/>
        <w:wordWrap/>
        <w:overflowPunct/>
        <w:topLinePunct w:val="0"/>
        <w:autoSpaceDE/>
        <w:autoSpaceDN/>
        <w:bidi w:val="0"/>
        <w:adjustRightInd/>
        <w:snapToGrid/>
        <w:spacing w:after="0" w:line="360" w:lineRule="auto"/>
        <w:ind w:firstLine="420" w:firstLineChars="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（2）技术部</w:t>
      </w:r>
    </w:p>
    <w:p w14:paraId="014F0571">
      <w:pPr>
        <w:keepNext w:val="0"/>
        <w:keepLines w:val="0"/>
        <w:pageBreakBefore w:val="0"/>
        <w:widowControl/>
        <w:kinsoku/>
        <w:wordWrap/>
        <w:overflowPunct/>
        <w:topLinePunct w:val="0"/>
        <w:autoSpaceDE/>
        <w:autoSpaceDN/>
        <w:bidi w:val="0"/>
        <w:adjustRightInd/>
        <w:snapToGrid/>
        <w:spacing w:after="0" w:line="360" w:lineRule="auto"/>
        <w:ind w:firstLine="420" w:firstLineChars="0"/>
        <w:textAlignment w:val="auto"/>
        <w:rPr>
          <w:rFonts w:hint="eastAsia" w:ascii="宋体" w:hAnsi="宋体" w:eastAsia="宋体" w:cs="宋体"/>
          <w:b w:val="0"/>
          <w:bCs w:val="0"/>
          <w:sz w:val="24"/>
          <w:szCs w:val="24"/>
          <w:lang w:val="en-US" w:eastAsia="zh-CN"/>
        </w:rPr>
      </w:pPr>
      <w:bookmarkStart w:id="0" w:name="_GoBack"/>
      <w:bookmarkEnd w:id="0"/>
      <w:r>
        <w:rPr>
          <w:rFonts w:hint="eastAsia" w:ascii="宋体" w:hAnsi="宋体" w:eastAsia="宋体" w:cs="宋体"/>
          <w:b w:val="0"/>
          <w:bCs w:val="0"/>
          <w:sz w:val="24"/>
          <w:szCs w:val="24"/>
          <w:lang w:val="en-US" w:eastAsia="zh-CN"/>
        </w:rPr>
        <w:t>技术部经理：对QA提交的项目组无法解决的不合格问题进行协调，定期审查QA活动和结果。</w:t>
      </w:r>
    </w:p>
    <w:p w14:paraId="48873B4E">
      <w:pPr>
        <w:keepNext w:val="0"/>
        <w:keepLines w:val="0"/>
        <w:pageBreakBefore w:val="0"/>
        <w:widowControl/>
        <w:kinsoku/>
        <w:wordWrap/>
        <w:overflowPunct/>
        <w:topLinePunct w:val="0"/>
        <w:autoSpaceDE/>
        <w:autoSpaceDN/>
        <w:bidi w:val="0"/>
        <w:adjustRightInd/>
        <w:snapToGrid/>
        <w:spacing w:after="0" w:line="360" w:lineRule="auto"/>
        <w:ind w:firstLine="420" w:firstLineChars="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开发工程师：配合QA完成软件的过程质量和产品质量的监督和检查工作，解决QA在质量保证过程中提出的不符合问题或偏差，直到问题关闭。</w:t>
      </w:r>
    </w:p>
    <w:p w14:paraId="39A6051D">
      <w:pPr>
        <w:keepNext w:val="0"/>
        <w:keepLines w:val="0"/>
        <w:pageBreakBefore w:val="0"/>
        <w:widowControl/>
        <w:kinsoku/>
        <w:wordWrap/>
        <w:overflowPunct/>
        <w:topLinePunct w:val="0"/>
        <w:autoSpaceDE/>
        <w:autoSpaceDN/>
        <w:bidi w:val="0"/>
        <w:adjustRightInd/>
        <w:snapToGrid/>
        <w:spacing w:after="0" w:line="360" w:lineRule="auto"/>
        <w:ind w:firstLine="420" w:firstLineChars="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测试工程师：配合QA完成软件的过程质量和产品质量的监督和检查工作。</w:t>
      </w:r>
    </w:p>
    <w:p w14:paraId="60016A0E">
      <w:pPr>
        <w:keepNext w:val="0"/>
        <w:keepLines w:val="0"/>
        <w:pageBreakBefore w:val="0"/>
        <w:widowControl/>
        <w:kinsoku/>
        <w:wordWrap/>
        <w:overflowPunct/>
        <w:topLinePunct w:val="0"/>
        <w:autoSpaceDE/>
        <w:autoSpaceDN/>
        <w:bidi w:val="0"/>
        <w:adjustRightInd/>
        <w:snapToGrid/>
        <w:spacing w:after="0" w:line="360" w:lineRule="auto"/>
        <w:ind w:firstLine="420" w:firstLineChars="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其中：同一软件项的开发人员和测试人员不得兼任。</w:t>
      </w:r>
    </w:p>
    <w:p w14:paraId="58D281BE">
      <w:pPr>
        <w:keepNext w:val="0"/>
        <w:keepLines w:val="0"/>
        <w:pageBreakBefore w:val="0"/>
        <w:widowControl/>
        <w:numPr>
          <w:ilvl w:val="0"/>
          <w:numId w:val="1"/>
        </w:numPr>
        <w:kinsoku/>
        <w:wordWrap/>
        <w:overflowPunct/>
        <w:topLinePunct w:val="0"/>
        <w:autoSpaceDE/>
        <w:autoSpaceDN/>
        <w:bidi w:val="0"/>
        <w:adjustRightInd/>
        <w:snapToGrid/>
        <w:spacing w:beforeAutospacing="0" w:after="0" w:line="360" w:lineRule="auto"/>
        <w:ind w:left="425" w:leftChars="0" w:hanging="425" w:firstLineChars="0"/>
        <w:jc w:val="left"/>
        <w:textAlignment w:val="auto"/>
        <w:outlineLvl w:val="0"/>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lang w:val="en-US" w:eastAsia="zh-CN"/>
        </w:rPr>
        <w:t>内容</w:t>
      </w:r>
    </w:p>
    <w:p w14:paraId="3200BE8E">
      <w:pPr>
        <w:keepNext w:val="0"/>
        <w:keepLines w:val="0"/>
        <w:pageBreakBefore w:val="0"/>
        <w:widowControl/>
        <w:numPr>
          <w:ilvl w:val="1"/>
          <w:numId w:val="1"/>
        </w:numPr>
        <w:kinsoku/>
        <w:wordWrap/>
        <w:overflowPunct/>
        <w:topLinePunct w:val="0"/>
        <w:autoSpaceDE/>
        <w:autoSpaceDN/>
        <w:bidi w:val="0"/>
        <w:adjustRightInd/>
        <w:snapToGrid/>
        <w:spacing w:beforeAutospacing="0" w:after="0" w:line="360" w:lineRule="auto"/>
        <w:ind w:left="567" w:leftChars="0" w:hanging="567" w:firstLineChars="0"/>
        <w:jc w:val="left"/>
        <w:textAlignment w:val="auto"/>
        <w:outlineLvl w:val="0"/>
        <w:rPr>
          <w:rFonts w:hint="eastAsia" w:ascii="宋体" w:hAnsi="宋体" w:eastAsia="宋体" w:cs="宋体"/>
          <w:b w:val="0"/>
          <w:bCs w:val="0"/>
          <w:sz w:val="24"/>
          <w:szCs w:val="24"/>
        </w:rPr>
      </w:pPr>
      <w:r>
        <w:rPr>
          <w:rFonts w:hint="eastAsia" w:ascii="宋体" w:hAnsi="宋体" w:eastAsia="宋体" w:cs="宋体"/>
          <w:b w:val="0"/>
          <w:bCs w:val="0"/>
          <w:sz w:val="24"/>
          <w:szCs w:val="24"/>
        </w:rPr>
        <w:t>制定</w:t>
      </w:r>
      <w:r>
        <w:rPr>
          <w:rFonts w:hint="eastAsia" w:ascii="宋体" w:hAnsi="宋体" w:eastAsia="宋体" w:cs="宋体"/>
          <w:b w:val="0"/>
          <w:bCs w:val="0"/>
          <w:sz w:val="24"/>
          <w:szCs w:val="24"/>
          <w:lang w:eastAsia="zh-CN"/>
        </w:rPr>
        <w:t>QA产品审计检查表</w:t>
      </w:r>
    </w:p>
    <w:p w14:paraId="005985DE">
      <w:pPr>
        <w:keepNext w:val="0"/>
        <w:keepLines w:val="0"/>
        <w:pageBreakBefore w:val="0"/>
        <w:widowControl/>
        <w:numPr>
          <w:ilvl w:val="2"/>
          <w:numId w:val="1"/>
        </w:numPr>
        <w:kinsoku/>
        <w:wordWrap/>
        <w:overflowPunct/>
        <w:topLinePunct w:val="0"/>
        <w:autoSpaceDE/>
        <w:autoSpaceDN/>
        <w:bidi w:val="0"/>
        <w:adjustRightInd/>
        <w:snapToGrid/>
        <w:spacing w:beforeAutospacing="0" w:after="0" w:line="360" w:lineRule="auto"/>
        <w:ind w:left="0" w:leftChars="0" w:firstLine="0" w:firstLineChars="0"/>
        <w:jc w:val="left"/>
        <w:textAlignment w:val="auto"/>
        <w:outlineLvl w:val="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根据开发任务书及</w:t>
      </w:r>
      <w:r>
        <w:rPr>
          <w:rFonts w:hint="eastAsia" w:ascii="宋体" w:hAnsi="宋体" w:eastAsia="宋体" w:cs="宋体"/>
          <w:b w:val="0"/>
          <w:bCs w:val="0"/>
          <w:sz w:val="24"/>
          <w:szCs w:val="24"/>
        </w:rPr>
        <w:t>《项目</w:t>
      </w:r>
      <w:r>
        <w:rPr>
          <w:rFonts w:hint="eastAsia" w:ascii="宋体" w:hAnsi="宋体" w:eastAsia="宋体" w:cs="宋体"/>
          <w:b w:val="0"/>
          <w:bCs w:val="0"/>
          <w:sz w:val="24"/>
          <w:szCs w:val="24"/>
          <w:lang w:val="en-US" w:eastAsia="zh-CN"/>
        </w:rPr>
        <w:t>开发</w:t>
      </w:r>
      <w:r>
        <w:rPr>
          <w:rFonts w:hint="eastAsia" w:ascii="宋体" w:hAnsi="宋体" w:eastAsia="宋体" w:cs="宋体"/>
          <w:b w:val="0"/>
          <w:bCs w:val="0"/>
          <w:sz w:val="24"/>
          <w:szCs w:val="24"/>
        </w:rPr>
        <w:t>计划》</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确定需要检查的主要过程和主要工作成果，识别干系人及其活动，并估计检查时间和人员。制定出《</w:t>
      </w:r>
      <w:r>
        <w:rPr>
          <w:rFonts w:hint="eastAsia" w:ascii="宋体" w:hAnsi="宋体" w:eastAsia="宋体" w:cs="宋体"/>
          <w:b w:val="0"/>
          <w:bCs w:val="0"/>
          <w:sz w:val="24"/>
          <w:szCs w:val="24"/>
          <w:lang w:eastAsia="zh-CN"/>
        </w:rPr>
        <w:t>**QA产品审计检查表</w:t>
      </w:r>
      <w:r>
        <w:rPr>
          <w:rFonts w:hint="eastAsia" w:ascii="宋体" w:hAnsi="宋体" w:eastAsia="宋体" w:cs="宋体"/>
          <w:b w:val="0"/>
          <w:bCs w:val="0"/>
          <w:sz w:val="24"/>
          <w:szCs w:val="24"/>
        </w:rPr>
        <w:t>》。</w:t>
      </w:r>
    </w:p>
    <w:p w14:paraId="5C63E4DA">
      <w:pPr>
        <w:keepNext w:val="0"/>
        <w:keepLines w:val="0"/>
        <w:pageBreakBefore w:val="0"/>
        <w:widowControl/>
        <w:numPr>
          <w:ilvl w:val="2"/>
          <w:numId w:val="1"/>
        </w:numPr>
        <w:kinsoku/>
        <w:wordWrap/>
        <w:overflowPunct/>
        <w:topLinePunct w:val="0"/>
        <w:autoSpaceDE/>
        <w:autoSpaceDN/>
        <w:bidi w:val="0"/>
        <w:adjustRightInd/>
        <w:snapToGrid/>
        <w:spacing w:beforeAutospacing="0" w:after="0" w:line="360" w:lineRule="auto"/>
        <w:ind w:left="0" w:leftChars="0" w:firstLine="0" w:firstLineChars="0"/>
        <w:jc w:val="left"/>
        <w:textAlignment w:val="auto"/>
        <w:outlineLvl w:val="0"/>
        <w:rPr>
          <w:rFonts w:hint="eastAsia" w:ascii="宋体" w:hAnsi="宋体" w:eastAsia="宋体" w:cs="宋体"/>
          <w:b w:val="0"/>
          <w:bCs w:val="0"/>
          <w:sz w:val="24"/>
          <w:szCs w:val="24"/>
        </w:rPr>
      </w:pPr>
      <w:r>
        <w:rPr>
          <w:rFonts w:hint="eastAsia" w:ascii="宋体" w:hAnsi="宋体" w:eastAsia="宋体" w:cs="宋体"/>
          <w:b w:val="0"/>
          <w:bCs w:val="0"/>
          <w:sz w:val="24"/>
          <w:szCs w:val="24"/>
        </w:rPr>
        <w:t>QA人员根据项目的特征，参照《项目</w:t>
      </w:r>
      <w:r>
        <w:rPr>
          <w:rFonts w:hint="eastAsia" w:ascii="宋体" w:hAnsi="宋体" w:eastAsia="宋体" w:cs="宋体"/>
          <w:b w:val="0"/>
          <w:bCs w:val="0"/>
          <w:sz w:val="24"/>
          <w:szCs w:val="24"/>
          <w:lang w:val="en-US" w:eastAsia="zh-CN"/>
        </w:rPr>
        <w:t>开发</w:t>
      </w:r>
      <w:r>
        <w:rPr>
          <w:rFonts w:hint="eastAsia" w:ascii="宋体" w:hAnsi="宋体" w:eastAsia="宋体" w:cs="宋体"/>
          <w:b w:val="0"/>
          <w:bCs w:val="0"/>
          <w:sz w:val="24"/>
          <w:szCs w:val="24"/>
        </w:rPr>
        <w:t>计划》确定需要检查的主要过程活动和主要工作成果，并估计检查时间和人员。计划的内容要求包括：</w:t>
      </w:r>
    </w:p>
    <w:p w14:paraId="503AA113">
      <w:pPr>
        <w:keepNext w:val="0"/>
        <w:keepLines w:val="0"/>
        <w:pageBreakBefore w:val="0"/>
        <w:widowControl/>
        <w:numPr>
          <w:ilvl w:val="3"/>
          <w:numId w:val="1"/>
        </w:numPr>
        <w:kinsoku/>
        <w:wordWrap/>
        <w:overflowPunct/>
        <w:topLinePunct w:val="0"/>
        <w:autoSpaceDE/>
        <w:autoSpaceDN/>
        <w:bidi w:val="0"/>
        <w:adjustRightInd/>
        <w:snapToGrid/>
        <w:spacing w:beforeAutospacing="0" w:after="0" w:line="360" w:lineRule="auto"/>
        <w:ind w:left="0" w:leftChars="0" w:firstLine="0" w:firstLineChars="0"/>
        <w:jc w:val="left"/>
        <w:textAlignment w:val="auto"/>
        <w:outlineLvl w:val="0"/>
        <w:rPr>
          <w:rFonts w:hint="eastAsia" w:ascii="宋体" w:hAnsi="宋体" w:eastAsia="宋体" w:cs="宋体"/>
          <w:b w:val="0"/>
          <w:bCs w:val="0"/>
          <w:sz w:val="24"/>
          <w:szCs w:val="24"/>
        </w:rPr>
      </w:pPr>
      <w:r>
        <w:rPr>
          <w:rFonts w:hint="eastAsia" w:ascii="宋体" w:hAnsi="宋体" w:eastAsia="宋体" w:cs="宋体"/>
          <w:b w:val="0"/>
          <w:bCs w:val="0"/>
          <w:sz w:val="24"/>
          <w:szCs w:val="24"/>
        </w:rPr>
        <w:t>监督重要的开发工作成果的阶段计划，如：需求分析，软件设计，代码等。</w:t>
      </w:r>
    </w:p>
    <w:p w14:paraId="2E4FA83C">
      <w:pPr>
        <w:keepNext w:val="0"/>
        <w:keepLines w:val="0"/>
        <w:pageBreakBefore w:val="0"/>
        <w:widowControl/>
        <w:numPr>
          <w:ilvl w:val="3"/>
          <w:numId w:val="1"/>
        </w:numPr>
        <w:kinsoku/>
        <w:wordWrap/>
        <w:overflowPunct/>
        <w:topLinePunct w:val="0"/>
        <w:autoSpaceDE/>
        <w:autoSpaceDN/>
        <w:bidi w:val="0"/>
        <w:adjustRightInd/>
        <w:snapToGrid/>
        <w:spacing w:beforeAutospacing="0" w:after="0" w:line="360" w:lineRule="auto"/>
        <w:ind w:left="0" w:leftChars="0" w:firstLine="0" w:firstLineChars="0"/>
        <w:jc w:val="left"/>
        <w:textAlignment w:val="auto"/>
        <w:outlineLvl w:val="0"/>
        <w:rPr>
          <w:rFonts w:hint="eastAsia" w:ascii="宋体" w:hAnsi="宋体" w:eastAsia="宋体" w:cs="宋体"/>
          <w:b w:val="0"/>
          <w:bCs w:val="0"/>
          <w:sz w:val="24"/>
          <w:szCs w:val="24"/>
        </w:rPr>
      </w:pPr>
      <w:r>
        <w:rPr>
          <w:rFonts w:hint="eastAsia" w:ascii="宋体" w:hAnsi="宋体" w:eastAsia="宋体" w:cs="宋体"/>
          <w:b w:val="0"/>
          <w:bCs w:val="0"/>
          <w:sz w:val="24"/>
          <w:szCs w:val="24"/>
        </w:rPr>
        <w:t>根据《</w:t>
      </w:r>
      <w:r>
        <w:rPr>
          <w:rFonts w:hint="eastAsia" w:ascii="宋体" w:hAnsi="宋体" w:eastAsia="宋体" w:cs="宋体"/>
          <w:b w:val="0"/>
          <w:bCs w:val="0"/>
          <w:sz w:val="24"/>
          <w:szCs w:val="24"/>
          <w:lang w:eastAsia="zh-CN"/>
        </w:rPr>
        <w:t>项目开发计划</w:t>
      </w:r>
      <w:r>
        <w:rPr>
          <w:rFonts w:hint="eastAsia" w:ascii="宋体" w:hAnsi="宋体" w:eastAsia="宋体" w:cs="宋体"/>
          <w:b w:val="0"/>
          <w:bCs w:val="0"/>
          <w:sz w:val="24"/>
          <w:szCs w:val="24"/>
        </w:rPr>
        <w:t>》中的评审计划，确定QA需要参加的评审计划。</w:t>
      </w:r>
    </w:p>
    <w:p w14:paraId="749189D5">
      <w:pPr>
        <w:keepNext w:val="0"/>
        <w:keepLines w:val="0"/>
        <w:pageBreakBefore w:val="0"/>
        <w:widowControl/>
        <w:numPr>
          <w:ilvl w:val="3"/>
          <w:numId w:val="1"/>
        </w:numPr>
        <w:kinsoku/>
        <w:wordWrap/>
        <w:overflowPunct/>
        <w:topLinePunct w:val="0"/>
        <w:autoSpaceDE/>
        <w:autoSpaceDN/>
        <w:bidi w:val="0"/>
        <w:adjustRightInd/>
        <w:snapToGrid/>
        <w:spacing w:beforeAutospacing="0" w:after="0" w:line="360" w:lineRule="auto"/>
        <w:ind w:left="0" w:leftChars="0" w:firstLine="0" w:firstLineChars="0"/>
        <w:jc w:val="left"/>
        <w:textAlignment w:val="auto"/>
        <w:outlineLvl w:val="0"/>
        <w:rPr>
          <w:rFonts w:hint="eastAsia" w:ascii="宋体" w:hAnsi="宋体" w:eastAsia="宋体" w:cs="宋体"/>
          <w:b w:val="0"/>
          <w:bCs w:val="0"/>
          <w:sz w:val="24"/>
          <w:szCs w:val="24"/>
        </w:rPr>
      </w:pPr>
      <w:r>
        <w:rPr>
          <w:rFonts w:hint="eastAsia" w:ascii="宋体" w:hAnsi="宋体" w:eastAsia="宋体" w:cs="宋体"/>
          <w:b w:val="0"/>
          <w:bCs w:val="0"/>
          <w:sz w:val="24"/>
          <w:szCs w:val="24"/>
        </w:rPr>
        <w:t>软件安全完整性等级</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SIL</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目标</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软件的安全完整度等级应不低于系统安全完整度，软件安全完整度等级也需要在软件需求规范中明确定义。如果软件系统中存在不同安全完整度等级的模块，需要在软件结构设计中说明。如果不能证明不同模块之间的独立性，那么所有模块都应按最高安全完整度对待。</w:t>
      </w:r>
    </w:p>
    <w:p w14:paraId="6841D1A0">
      <w:pPr>
        <w:keepNext w:val="0"/>
        <w:keepLines w:val="0"/>
        <w:pageBreakBefore w:val="0"/>
        <w:widowControl/>
        <w:kinsoku/>
        <w:wordWrap/>
        <w:overflowPunct/>
        <w:topLinePunct w:val="0"/>
        <w:autoSpaceDE/>
        <w:autoSpaceDN/>
        <w:bidi w:val="0"/>
        <w:adjustRightInd/>
        <w:snapToGrid/>
        <w:spacing w:after="0" w:line="360" w:lineRule="auto"/>
        <w:ind w:firstLine="420" w:firstLineChars="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基于如下的严重度，应初步赋予软件相应安全性级别：</w:t>
      </w:r>
    </w:p>
    <w:p w14:paraId="783AF22A">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 xml:space="preserve">         A级：不可能对健康有伤害和损坏；</w:t>
      </w:r>
    </w:p>
    <w:p w14:paraId="0E165510">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 xml:space="preserve">         B级：可能有不严重的伤害；</w:t>
      </w:r>
    </w:p>
    <w:p w14:paraId="06BFB698">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 xml:space="preserve">         C级：可能死亡或严重伤害。</w:t>
      </w:r>
    </w:p>
    <w:p w14:paraId="0B466194">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 xml:space="preserve"> （1）按产品预期用途、使用环境和核心功能进行判定。</w:t>
      </w:r>
    </w:p>
    <w:p w14:paraId="7564555F">
      <w:pPr>
        <w:keepNext w:val="0"/>
        <w:keepLines w:val="0"/>
        <w:pageBreakBefore w:val="0"/>
        <w:widowControl/>
        <w:kinsoku/>
        <w:wordWrap/>
        <w:overflowPunct/>
        <w:topLinePunct w:val="0"/>
        <w:autoSpaceDE/>
        <w:autoSpaceDN/>
        <w:bidi w:val="0"/>
        <w:adjustRightInd/>
        <w:snapToGrid/>
        <w:spacing w:after="0" w:line="360" w:lineRule="auto"/>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预期用途主要考虑软件的临床用途（如诊断、治疗、监护、筛查等）和重要程度（如重要作用、辅助作用、补充作用等），使用环境主要考虑软件的使用场所（如医院、家庭等）、疾病类型（如严重性、紧迫性、传染性等）、患者人群（如成人、儿童、老年、女性等）和用户类型（如专业用户、普通用户、患者等），核心功能主要考虑软件的功能类型（如控制驱动、处理分析等）、实现方法（如CT图像重建采用滤波反投影算法还是迭代算法，异常识别采用常规图像处理算法还是人工智能算法等）和复杂程度（如算法规模、参数数量、运算速度等）。</w:t>
      </w:r>
    </w:p>
    <w:p w14:paraId="5FC7B3D2">
      <w:pPr>
        <w:keepNext w:val="0"/>
        <w:keepLines w:val="0"/>
        <w:pageBreakBefore w:val="0"/>
        <w:widowControl/>
        <w:kinsoku/>
        <w:wordWrap/>
        <w:overflowPunct/>
        <w:topLinePunct w:val="0"/>
        <w:autoSpaceDE/>
        <w:autoSpaceDN/>
        <w:bidi w:val="0"/>
        <w:adjustRightInd/>
        <w:snapToGrid/>
        <w:spacing w:after="0" w:line="360" w:lineRule="auto"/>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（2）按风险管理所确定的风险等级进行判定</w:t>
      </w:r>
    </w:p>
    <w:p w14:paraId="14CEC87A">
      <w:pPr>
        <w:keepNext w:val="0"/>
        <w:keepLines w:val="0"/>
        <w:pageBreakBefore w:val="0"/>
        <w:widowControl/>
        <w:kinsoku/>
        <w:wordWrap/>
        <w:overflowPunct/>
        <w:topLinePunct w:val="0"/>
        <w:autoSpaceDE/>
        <w:autoSpaceDN/>
        <w:bidi w:val="0"/>
        <w:adjustRightInd/>
        <w:snapToGrid/>
        <w:spacing w:after="0" w:line="360" w:lineRule="auto"/>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对每个软件系统，在赋予安全性级别以前</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均应应用C级要求。应假定可能引起软件系统未能像规定的那样起作用的失效的概率为100%。</w:t>
      </w:r>
    </w:p>
    <w:p w14:paraId="54631598">
      <w:pPr>
        <w:keepNext w:val="0"/>
        <w:keepLines w:val="0"/>
        <w:pageBreakBefore w:val="0"/>
        <w:widowControl/>
        <w:kinsoku/>
        <w:wordWrap/>
        <w:overflowPunct/>
        <w:topLinePunct w:val="0"/>
        <w:autoSpaceDE/>
        <w:autoSpaceDN/>
        <w:bidi w:val="0"/>
        <w:adjustRightInd/>
        <w:snapToGrid/>
        <w:spacing w:after="0" w:line="360" w:lineRule="auto"/>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如果软件失效可以引起死亡或严重伤害的风险，随后由制造商结合质量管理体系要求，建立与软件安全性级别相匹配的软件生存周期过程，包括软件开发过程、软件维护过程、配置管理过程、风险管理过程和问题解决过程。同时，制造商可采用良好软件工程实践完善质量管理体系要求，保证软件质量。另外，制造商应保证软件自身的信息安全，确保健康数据的保密性、完整性和可得性。由以上风险控制措施将风险降低到可接受水平（如YY/T0316所规定），或者降低软件失效后果或者降低由失效引起的死亡或严重伤亡的概率，软件安全性级别可从C级降低到B级；如果软件失效引起的非严重伤害风险同样通过上述风险控制措施降低到可接受水平，软件安全性级别可从B级降低到A。</w:t>
      </w:r>
    </w:p>
    <w:p w14:paraId="1AE66BC3">
      <w:pPr>
        <w:keepNext w:val="0"/>
        <w:keepLines w:val="0"/>
        <w:pageBreakBefore w:val="0"/>
        <w:widowControl/>
        <w:numPr>
          <w:ilvl w:val="3"/>
          <w:numId w:val="1"/>
        </w:numPr>
        <w:kinsoku/>
        <w:wordWrap/>
        <w:overflowPunct/>
        <w:topLinePunct w:val="0"/>
        <w:autoSpaceDE/>
        <w:autoSpaceDN/>
        <w:bidi w:val="0"/>
        <w:adjustRightInd/>
        <w:snapToGrid/>
        <w:spacing w:beforeAutospacing="0" w:after="0" w:line="360" w:lineRule="auto"/>
        <w:ind w:left="0" w:leftChars="0" w:firstLine="0" w:firstLineChars="0"/>
        <w:jc w:val="left"/>
        <w:textAlignment w:val="auto"/>
        <w:outlineLvl w:val="0"/>
        <w:rPr>
          <w:rFonts w:hint="eastAsia" w:ascii="宋体" w:hAnsi="宋体" w:eastAsia="宋体" w:cs="宋体"/>
          <w:b w:val="0"/>
          <w:bCs w:val="0"/>
          <w:sz w:val="24"/>
          <w:szCs w:val="24"/>
        </w:rPr>
      </w:pPr>
      <w:r>
        <w:rPr>
          <w:rFonts w:hint="eastAsia" w:ascii="宋体" w:hAnsi="宋体" w:eastAsia="宋体" w:cs="宋体"/>
          <w:b w:val="0"/>
          <w:bCs w:val="0"/>
          <w:sz w:val="24"/>
          <w:szCs w:val="24"/>
        </w:rPr>
        <w:t>软件配置管理</w:t>
      </w:r>
      <w:r>
        <w:rPr>
          <w:rFonts w:hint="eastAsia" w:ascii="宋体" w:hAnsi="宋体" w:eastAsia="宋体" w:cs="宋体"/>
          <w:b w:val="0"/>
          <w:bCs w:val="0"/>
          <w:sz w:val="24"/>
          <w:szCs w:val="24"/>
          <w:lang w:eastAsia="zh-CN"/>
        </w:rPr>
        <w:t>：在软件生命周期内应对各阶段的配置项进行标识、控制、审核及管理。配置项包括技术文档和程序等。</w:t>
      </w:r>
    </w:p>
    <w:p w14:paraId="54EE0744">
      <w:pPr>
        <w:keepNext w:val="0"/>
        <w:keepLines w:val="0"/>
        <w:pageBreakBefore w:val="0"/>
        <w:widowControl/>
        <w:numPr>
          <w:ilvl w:val="3"/>
          <w:numId w:val="1"/>
        </w:numPr>
        <w:kinsoku/>
        <w:wordWrap/>
        <w:overflowPunct/>
        <w:topLinePunct w:val="0"/>
        <w:autoSpaceDE/>
        <w:autoSpaceDN/>
        <w:bidi w:val="0"/>
        <w:adjustRightInd/>
        <w:snapToGrid/>
        <w:spacing w:beforeAutospacing="0" w:after="0" w:line="360" w:lineRule="auto"/>
        <w:ind w:left="0" w:leftChars="0" w:firstLine="0" w:firstLineChars="0"/>
        <w:jc w:val="left"/>
        <w:textAlignment w:val="auto"/>
        <w:outlineLvl w:val="0"/>
        <w:rPr>
          <w:rFonts w:hint="eastAsia" w:ascii="宋体" w:hAnsi="宋体" w:eastAsia="宋体" w:cs="宋体"/>
          <w:b w:val="0"/>
          <w:bCs w:val="0"/>
          <w:sz w:val="24"/>
          <w:szCs w:val="24"/>
        </w:rPr>
      </w:pPr>
      <w:r>
        <w:rPr>
          <w:rFonts w:hint="eastAsia" w:ascii="宋体" w:hAnsi="宋体" w:eastAsia="宋体" w:cs="宋体"/>
          <w:b w:val="0"/>
          <w:bCs w:val="0"/>
          <w:sz w:val="24"/>
          <w:szCs w:val="24"/>
        </w:rPr>
        <w:t>可追溯性</w:t>
      </w:r>
      <w:r>
        <w:rPr>
          <w:rFonts w:hint="eastAsia" w:ascii="宋体" w:hAnsi="宋体" w:eastAsia="宋体" w:cs="宋体"/>
          <w:b w:val="0"/>
          <w:bCs w:val="0"/>
          <w:sz w:val="24"/>
          <w:szCs w:val="24"/>
          <w:lang w:eastAsia="zh-CN"/>
        </w:rPr>
        <w:t>：描述如何实现需求的可追溯性，主要包括：软件需求与系统需求的追踪性；软件需求和软件设计的追溯性；软件需求和软件测试案例的追溯性等。</w:t>
      </w:r>
    </w:p>
    <w:p w14:paraId="14E8D0F1">
      <w:pPr>
        <w:keepNext w:val="0"/>
        <w:keepLines w:val="0"/>
        <w:pageBreakBefore w:val="0"/>
        <w:widowControl/>
        <w:numPr>
          <w:ilvl w:val="1"/>
          <w:numId w:val="1"/>
        </w:numPr>
        <w:kinsoku/>
        <w:wordWrap/>
        <w:overflowPunct/>
        <w:topLinePunct w:val="0"/>
        <w:autoSpaceDE/>
        <w:autoSpaceDN/>
        <w:bidi w:val="0"/>
        <w:adjustRightInd/>
        <w:snapToGrid/>
        <w:spacing w:beforeAutospacing="0" w:after="0" w:line="360" w:lineRule="auto"/>
        <w:ind w:left="567" w:leftChars="0" w:hanging="567" w:firstLineChars="0"/>
        <w:jc w:val="left"/>
        <w:textAlignment w:val="auto"/>
        <w:outlineLvl w:val="0"/>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rPr>
        <w:t>实施QA活动</w:t>
      </w:r>
    </w:p>
    <w:p w14:paraId="0EA26322">
      <w:pPr>
        <w:keepNext w:val="0"/>
        <w:keepLines w:val="0"/>
        <w:pageBreakBefore w:val="0"/>
        <w:widowControl/>
        <w:numPr>
          <w:ilvl w:val="2"/>
          <w:numId w:val="1"/>
        </w:numPr>
        <w:kinsoku/>
        <w:wordWrap/>
        <w:overflowPunct/>
        <w:topLinePunct w:val="0"/>
        <w:autoSpaceDE/>
        <w:autoSpaceDN/>
        <w:bidi w:val="0"/>
        <w:adjustRightInd/>
        <w:snapToGrid/>
        <w:spacing w:beforeAutospacing="0" w:after="0" w:line="360" w:lineRule="auto"/>
        <w:ind w:left="0" w:leftChars="0" w:firstLine="0" w:firstLineChars="0"/>
        <w:jc w:val="left"/>
        <w:textAlignment w:val="auto"/>
        <w:outlineLvl w:val="0"/>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QA人员按照《**QA产品审计检查表》和根据组织检查列表库制定的检查表客观地检查项目组成员的“过程”和“工作产品”是否符合既定的规范，并与项目成员协商改进措施。具体过程如下：</w:t>
      </w:r>
    </w:p>
    <w:p w14:paraId="5E24D665">
      <w:pPr>
        <w:keepNext w:val="0"/>
        <w:keepLines w:val="0"/>
        <w:pageBreakBefore w:val="0"/>
        <w:widowControl/>
        <w:numPr>
          <w:ilvl w:val="3"/>
          <w:numId w:val="1"/>
        </w:numPr>
        <w:kinsoku/>
        <w:wordWrap/>
        <w:overflowPunct/>
        <w:topLinePunct w:val="0"/>
        <w:autoSpaceDE/>
        <w:autoSpaceDN/>
        <w:bidi w:val="0"/>
        <w:adjustRightInd/>
        <w:snapToGrid/>
        <w:spacing w:beforeAutospacing="0" w:after="0" w:line="360" w:lineRule="auto"/>
        <w:ind w:left="0" w:leftChars="0" w:firstLine="0" w:firstLineChars="0"/>
        <w:jc w:val="left"/>
        <w:textAlignment w:val="auto"/>
        <w:outlineLvl w:val="0"/>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制定检查表：QA人员根据《项目开发计划》生成项目的《**QA产品审计检查表》，在检查的过程中遇到检查表中未涉及的问题，添加在项目检查表中。</w:t>
      </w:r>
    </w:p>
    <w:p w14:paraId="7FB22D9C">
      <w:pPr>
        <w:keepNext w:val="0"/>
        <w:keepLines w:val="0"/>
        <w:pageBreakBefore w:val="0"/>
        <w:widowControl/>
        <w:numPr>
          <w:ilvl w:val="3"/>
          <w:numId w:val="1"/>
        </w:numPr>
        <w:kinsoku/>
        <w:wordWrap/>
        <w:overflowPunct/>
        <w:topLinePunct w:val="0"/>
        <w:autoSpaceDE/>
        <w:autoSpaceDN/>
        <w:bidi w:val="0"/>
        <w:adjustRightInd/>
        <w:snapToGrid/>
        <w:spacing w:beforeAutospacing="0" w:after="0" w:line="360" w:lineRule="auto"/>
        <w:ind w:left="0" w:leftChars="0" w:firstLine="0" w:firstLineChars="0"/>
        <w:jc w:val="left"/>
        <w:textAlignment w:val="auto"/>
        <w:outlineLvl w:val="0"/>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QA人员按《**QA产品审计检查表》，客观公正地的对过程和产品进行例行检查，验证每周的过程活动和工作产品是否符合组织制定的规程、标准和模板的要求，并将检查结果记录在《**QA产品审计检查表》中。</w:t>
      </w:r>
    </w:p>
    <w:p w14:paraId="1C4E33BA">
      <w:pPr>
        <w:keepNext w:val="0"/>
        <w:keepLines w:val="0"/>
        <w:pageBreakBefore w:val="0"/>
        <w:widowControl/>
        <w:numPr>
          <w:ilvl w:val="3"/>
          <w:numId w:val="1"/>
        </w:numPr>
        <w:kinsoku/>
        <w:wordWrap/>
        <w:overflowPunct/>
        <w:topLinePunct w:val="0"/>
        <w:autoSpaceDE/>
        <w:autoSpaceDN/>
        <w:bidi w:val="0"/>
        <w:adjustRightInd/>
        <w:snapToGrid/>
        <w:spacing w:beforeAutospacing="0" w:after="0" w:line="360" w:lineRule="auto"/>
        <w:ind w:left="0" w:leftChars="0" w:firstLine="0" w:firstLineChars="0"/>
        <w:jc w:val="left"/>
        <w:textAlignment w:val="auto"/>
        <w:outlineLvl w:val="0"/>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QA人员按《项目开发计划》和《**QA产品审计检查表》参加项目评审会议，客观公正地检查评审会议是否按照组织制定的规程、标准进行；检查被评审工作产品或对象是否符合相关规程、标准和规范。将评审的检查结果记录到《**QA产品审计检查表》里，若发现不符合项时，则记录到《**QA产品审计检查表》中。</w:t>
      </w:r>
    </w:p>
    <w:p w14:paraId="61A4D438">
      <w:pPr>
        <w:keepNext w:val="0"/>
        <w:keepLines w:val="0"/>
        <w:pageBreakBefore w:val="0"/>
        <w:widowControl/>
        <w:numPr>
          <w:ilvl w:val="3"/>
          <w:numId w:val="1"/>
        </w:numPr>
        <w:kinsoku/>
        <w:wordWrap/>
        <w:overflowPunct/>
        <w:topLinePunct w:val="0"/>
        <w:autoSpaceDE/>
        <w:autoSpaceDN/>
        <w:bidi w:val="0"/>
        <w:adjustRightInd/>
        <w:snapToGrid/>
        <w:spacing w:beforeAutospacing="0" w:after="0" w:line="360" w:lineRule="auto"/>
        <w:ind w:left="0" w:leftChars="0" w:firstLine="0" w:firstLineChars="0"/>
        <w:jc w:val="left"/>
        <w:textAlignment w:val="auto"/>
        <w:outlineLvl w:val="0"/>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不符合项跟踪处理：每周例行工作时要重新识别并根据需要修改不符合项和缺陷的状态。</w:t>
      </w:r>
    </w:p>
    <w:p w14:paraId="7C61DB8C">
      <w:pPr>
        <w:keepNext w:val="0"/>
        <w:keepLines w:val="0"/>
        <w:pageBreakBefore w:val="0"/>
        <w:widowControl/>
        <w:numPr>
          <w:ilvl w:val="1"/>
          <w:numId w:val="1"/>
        </w:numPr>
        <w:kinsoku/>
        <w:wordWrap/>
        <w:overflowPunct/>
        <w:topLinePunct w:val="0"/>
        <w:autoSpaceDE/>
        <w:autoSpaceDN/>
        <w:bidi w:val="0"/>
        <w:adjustRightInd/>
        <w:snapToGrid/>
        <w:spacing w:beforeAutospacing="0" w:after="0" w:line="360" w:lineRule="auto"/>
        <w:ind w:left="567" w:leftChars="0" w:hanging="567" w:firstLineChars="0"/>
        <w:jc w:val="left"/>
        <w:textAlignment w:val="auto"/>
        <w:outlineLvl w:val="0"/>
        <w:rPr>
          <w:rFonts w:hint="eastAsia" w:ascii="宋体" w:hAnsi="宋体" w:eastAsia="宋体" w:cs="宋体"/>
          <w:b w:val="0"/>
          <w:bCs w:val="0"/>
          <w:sz w:val="24"/>
          <w:szCs w:val="24"/>
        </w:rPr>
      </w:pPr>
      <w:r>
        <w:rPr>
          <w:rFonts w:hint="eastAsia" w:ascii="宋体" w:hAnsi="宋体" w:eastAsia="宋体" w:cs="宋体"/>
          <w:b w:val="0"/>
          <w:bCs w:val="0"/>
          <w:sz w:val="24"/>
          <w:szCs w:val="24"/>
        </w:rPr>
        <w:t>定期QA报告</w:t>
      </w:r>
    </w:p>
    <w:p w14:paraId="172DC2B3">
      <w:pPr>
        <w:keepNext w:val="0"/>
        <w:keepLines w:val="0"/>
        <w:pageBreakBefore w:val="0"/>
        <w:widowControl/>
        <w:kinsoku/>
        <w:wordWrap/>
        <w:overflowPunct/>
        <w:topLinePunct w:val="0"/>
        <w:autoSpaceDE/>
        <w:autoSpaceDN/>
        <w:bidi w:val="0"/>
        <w:adjustRightInd/>
        <w:snapToGrid/>
        <w:spacing w:beforeAutospacing="0" w:after="0" w:line="360" w:lineRule="auto"/>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项目结项时，QA需对整个项目过程进行总结。QA人员对项目整个生命周期中</w:t>
      </w:r>
      <w:r>
        <w:rPr>
          <w:rFonts w:hint="eastAsia" w:ascii="宋体" w:hAnsi="宋体" w:eastAsia="宋体" w:cs="宋体"/>
          <w:b w:val="0"/>
          <w:bCs w:val="0"/>
          <w:sz w:val="24"/>
          <w:szCs w:val="24"/>
          <w:lang w:eastAsia="zh-CN"/>
        </w:rPr>
        <w:t>《**QA产品审计检查表》</w:t>
      </w:r>
      <w:r>
        <w:rPr>
          <w:rFonts w:hint="eastAsia" w:ascii="宋体" w:hAnsi="宋体" w:eastAsia="宋体" w:cs="宋体"/>
          <w:b w:val="0"/>
          <w:bCs w:val="0"/>
          <w:sz w:val="24"/>
          <w:szCs w:val="24"/>
        </w:rPr>
        <w:t>进行整合，从而对项目组做出QA方面的总结和评价，生成《</w:t>
      </w:r>
      <w:r>
        <w:rPr>
          <w:rFonts w:hint="eastAsia" w:ascii="宋体" w:hAnsi="宋体" w:eastAsia="宋体" w:cs="宋体"/>
          <w:b w:val="0"/>
          <w:bCs w:val="0"/>
          <w:sz w:val="24"/>
          <w:szCs w:val="24"/>
          <w:lang w:eastAsia="zh-CN"/>
        </w:rPr>
        <w:t>**软件质量保证报告</w:t>
      </w:r>
      <w:r>
        <w:rPr>
          <w:rFonts w:hint="eastAsia" w:ascii="宋体" w:hAnsi="宋体" w:eastAsia="宋体" w:cs="宋体"/>
          <w:b w:val="0"/>
          <w:bCs w:val="0"/>
          <w:sz w:val="24"/>
          <w:szCs w:val="24"/>
        </w:rPr>
        <w:t>》</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QA人员根据数据分析结果，给出质量改进建议。</w:t>
      </w:r>
    </w:p>
    <w:p w14:paraId="52B6E968">
      <w:pPr>
        <w:keepNext w:val="0"/>
        <w:keepLines w:val="0"/>
        <w:pageBreakBefore w:val="0"/>
        <w:widowControl/>
        <w:numPr>
          <w:ilvl w:val="0"/>
          <w:numId w:val="1"/>
        </w:numPr>
        <w:kinsoku/>
        <w:wordWrap/>
        <w:overflowPunct/>
        <w:topLinePunct w:val="0"/>
        <w:autoSpaceDE/>
        <w:autoSpaceDN/>
        <w:bidi w:val="0"/>
        <w:adjustRightInd/>
        <w:snapToGrid/>
        <w:spacing w:beforeAutospacing="0" w:after="0" w:line="360" w:lineRule="auto"/>
        <w:ind w:left="425" w:leftChars="0" w:hanging="425" w:firstLineChars="0"/>
        <w:jc w:val="left"/>
        <w:textAlignment w:val="auto"/>
        <w:outlineLvl w:val="0"/>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记录表格</w:t>
      </w:r>
    </w:p>
    <w:p w14:paraId="1C289E0F">
      <w:pPr>
        <w:keepNext w:val="0"/>
        <w:keepLines w:val="0"/>
        <w:pageBreakBefore w:val="0"/>
        <w:widowControl/>
        <w:kinsoku/>
        <w:wordWrap/>
        <w:overflowPunct/>
        <w:topLinePunct w:val="0"/>
        <w:autoSpaceDE/>
        <w:autoSpaceDN/>
        <w:bidi w:val="0"/>
        <w:adjustRightInd/>
        <w:snapToGrid/>
        <w:spacing w:after="0" w:line="360" w:lineRule="auto"/>
        <w:ind w:firstLine="420" w:firstLineChars="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《项目开发计划》</w:t>
      </w:r>
    </w:p>
    <w:p w14:paraId="7C3751B5">
      <w:pPr>
        <w:keepNext w:val="0"/>
        <w:keepLines w:val="0"/>
        <w:pageBreakBefore w:val="0"/>
        <w:widowControl/>
        <w:kinsoku/>
        <w:wordWrap/>
        <w:overflowPunct/>
        <w:topLinePunct w:val="0"/>
        <w:autoSpaceDE/>
        <w:autoSpaceDN/>
        <w:bidi w:val="0"/>
        <w:adjustRightInd/>
        <w:snapToGrid/>
        <w:spacing w:after="0" w:line="360" w:lineRule="auto"/>
        <w:ind w:firstLine="420" w:firstLineChars="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《**QA产品审计检查表》</w:t>
      </w:r>
    </w:p>
    <w:p w14:paraId="4481007A">
      <w:pPr>
        <w:keepNext w:val="0"/>
        <w:keepLines w:val="0"/>
        <w:pageBreakBefore w:val="0"/>
        <w:widowControl/>
        <w:kinsoku/>
        <w:wordWrap/>
        <w:overflowPunct/>
        <w:topLinePunct w:val="0"/>
        <w:autoSpaceDE/>
        <w:autoSpaceDN/>
        <w:bidi w:val="0"/>
        <w:adjustRightInd/>
        <w:snapToGrid/>
        <w:spacing w:after="0" w:line="360" w:lineRule="auto"/>
        <w:ind w:firstLine="420" w:firstLineChars="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《**软件质量保证报告》</w:t>
      </w:r>
    </w:p>
    <w:p w14:paraId="24DD9B77">
      <w:pPr>
        <w:keepNext w:val="0"/>
        <w:keepLines w:val="0"/>
        <w:pageBreakBefore w:val="0"/>
        <w:widowControl/>
        <w:kinsoku/>
        <w:wordWrap/>
        <w:overflowPunct/>
        <w:topLinePunct w:val="0"/>
        <w:autoSpaceDE/>
        <w:autoSpaceDN/>
        <w:bidi w:val="0"/>
        <w:adjustRightInd/>
        <w:snapToGrid/>
        <w:spacing w:after="0" w:line="360" w:lineRule="auto"/>
        <w:ind w:firstLine="420" w:firstLineChars="0"/>
        <w:textAlignment w:val="auto"/>
        <w:rPr>
          <w:rFonts w:hint="eastAsia" w:ascii="宋体" w:hAnsi="宋体" w:eastAsia="宋体" w:cs="宋体"/>
          <w:b w:val="0"/>
          <w:bCs w:val="0"/>
          <w:sz w:val="24"/>
          <w:szCs w:val="24"/>
          <w:lang w:val="en-US" w:eastAsia="zh-CN"/>
        </w:rPr>
      </w:pPr>
    </w:p>
    <w:sectPr>
      <w:headerReference r:id="rId6" w:type="first"/>
      <w:headerReference r:id="rId5" w:type="default"/>
      <w:pgSz w:w="11906" w:h="16838"/>
      <w:pgMar w:top="850" w:right="1134" w:bottom="850" w:left="1134" w:header="851" w:footer="992" w:gutter="0"/>
      <w:pgNumType w:fmt="decimal"/>
      <w:cols w:space="0" w:num="1"/>
      <w:titlePg/>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9"/>
      <w:tblpPr w:leftFromText="180" w:rightFromText="180" w:vertAnchor="page" w:horzAnchor="page" w:tblpX="1380" w:tblpY="478"/>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2"/>
      <w:gridCol w:w="2215"/>
      <w:gridCol w:w="1539"/>
      <w:gridCol w:w="1797"/>
      <w:gridCol w:w="1301"/>
      <w:gridCol w:w="1400"/>
    </w:tblGrid>
    <w:tr w14:paraId="082DD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5000" w:type="pct"/>
          <w:gridSpan w:val="6"/>
          <w:noWrap w:val="0"/>
          <w:vAlign w:val="center"/>
        </w:tcPr>
        <w:p w14:paraId="6E5E5E17">
          <w:pPr>
            <w:widowControl w:val="0"/>
            <w:pBdr>
              <w:bottom w:val="none" w:color="auto" w:sz="0" w:space="0"/>
            </w:pBdr>
            <w:spacing w:after="0" w:line="240" w:lineRule="auto"/>
            <w:jc w:val="center"/>
            <w:rPr>
              <w:rFonts w:hint="default"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 xml:space="preserve">童伴有康（河北）科技有限公司            </w:t>
          </w:r>
          <w:r>
            <w:rPr>
              <w:rFonts w:hint="eastAsia" w:ascii="宋体" w:hAnsi="宋体" w:eastAsia="宋体" w:cs="宋体"/>
              <w:kern w:val="2"/>
              <w:sz w:val="24"/>
              <w:szCs w:val="24"/>
              <w:lang w:val="en-US" w:eastAsia="zh-CN"/>
            </w:rPr>
            <w:fldChar w:fldCharType="begin"/>
          </w:r>
          <w:r>
            <w:rPr>
              <w:rFonts w:hint="eastAsia" w:ascii="宋体" w:hAnsi="宋体" w:eastAsia="宋体" w:cs="宋体"/>
              <w:kern w:val="2"/>
              <w:sz w:val="24"/>
              <w:szCs w:val="24"/>
              <w:lang w:val="en-US" w:eastAsia="zh-CN"/>
            </w:rPr>
            <w:instrText xml:space="preserve"> PAGE  \* Arabic  \* MERGEFORMAT </w:instrText>
          </w:r>
          <w:r>
            <w:rPr>
              <w:rFonts w:hint="eastAsia" w:ascii="宋体" w:hAnsi="宋体" w:eastAsia="宋体" w:cs="宋体"/>
              <w:kern w:val="2"/>
              <w:sz w:val="24"/>
              <w:szCs w:val="24"/>
              <w:lang w:val="en-US" w:eastAsia="zh-CN"/>
            </w:rPr>
            <w:fldChar w:fldCharType="separate"/>
          </w:r>
          <w:r>
            <w:rPr>
              <w:rFonts w:hint="eastAsia" w:ascii="宋体" w:hAnsi="宋体" w:eastAsia="宋体" w:cs="宋体"/>
              <w:kern w:val="2"/>
              <w:sz w:val="24"/>
              <w:szCs w:val="24"/>
              <w:lang w:val="en-US" w:eastAsia="zh-CN"/>
            </w:rPr>
            <w:t>1</w:t>
          </w:r>
          <w:r>
            <w:rPr>
              <w:rFonts w:hint="eastAsia" w:ascii="宋体" w:hAnsi="宋体" w:eastAsia="宋体" w:cs="宋体"/>
              <w:kern w:val="2"/>
              <w:sz w:val="24"/>
              <w:szCs w:val="24"/>
              <w:lang w:val="en-US" w:eastAsia="zh-CN"/>
            </w:rPr>
            <w:fldChar w:fldCharType="end"/>
          </w:r>
          <w:r>
            <w:rPr>
              <w:rFonts w:hint="eastAsia" w:ascii="宋体" w:hAnsi="宋体" w:eastAsia="宋体" w:cs="宋体"/>
              <w:kern w:val="2"/>
              <w:sz w:val="24"/>
              <w:szCs w:val="24"/>
              <w:lang w:val="en-US" w:eastAsia="zh-CN"/>
            </w:rPr>
            <w:t>/</w:t>
          </w:r>
          <w:r>
            <w:rPr>
              <w:rFonts w:hint="eastAsia" w:ascii="宋体" w:hAnsi="宋体" w:eastAsia="宋体" w:cs="宋体"/>
              <w:kern w:val="2"/>
              <w:sz w:val="24"/>
              <w:szCs w:val="24"/>
              <w:lang w:val="en-US" w:eastAsia="zh-CN"/>
            </w:rPr>
            <w:fldChar w:fldCharType="begin"/>
          </w:r>
          <w:r>
            <w:rPr>
              <w:rFonts w:hint="eastAsia" w:ascii="宋体" w:hAnsi="宋体" w:eastAsia="宋体" w:cs="宋体"/>
              <w:kern w:val="2"/>
              <w:sz w:val="24"/>
              <w:szCs w:val="24"/>
              <w:lang w:val="en-US" w:eastAsia="zh-CN"/>
            </w:rPr>
            <w:instrText xml:space="preserve"> SECTIONPAGES  \* Arabic  \* MERGEFORMAT </w:instrText>
          </w:r>
          <w:r>
            <w:rPr>
              <w:rFonts w:hint="eastAsia" w:ascii="宋体" w:hAnsi="宋体" w:eastAsia="宋体" w:cs="宋体"/>
              <w:kern w:val="2"/>
              <w:sz w:val="24"/>
              <w:szCs w:val="24"/>
              <w:lang w:val="en-US" w:eastAsia="zh-CN"/>
            </w:rPr>
            <w:fldChar w:fldCharType="separate"/>
          </w:r>
          <w:r>
            <w:rPr>
              <w:rFonts w:hint="eastAsia" w:ascii="宋体" w:hAnsi="宋体" w:eastAsia="宋体" w:cs="宋体"/>
              <w:kern w:val="2"/>
              <w:sz w:val="24"/>
              <w:szCs w:val="24"/>
              <w:lang w:val="en-US" w:eastAsia="zh-CN"/>
            </w:rPr>
            <w:t>40</w:t>
          </w:r>
          <w:r>
            <w:rPr>
              <w:rFonts w:hint="eastAsia" w:ascii="宋体" w:hAnsi="宋体" w:eastAsia="宋体" w:cs="宋体"/>
              <w:kern w:val="2"/>
              <w:sz w:val="24"/>
              <w:szCs w:val="24"/>
              <w:lang w:val="en-US" w:eastAsia="zh-CN"/>
            </w:rPr>
            <w:fldChar w:fldCharType="end"/>
          </w:r>
        </w:p>
      </w:tc>
    </w:tr>
    <w:tr w14:paraId="652E0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13" w:type="pct"/>
          <w:noWrap w:val="0"/>
          <w:vAlign w:val="center"/>
        </w:tcPr>
        <w:p w14:paraId="58B8D993">
          <w:pPr>
            <w:widowControl w:val="0"/>
            <w:pBdr>
              <w:bottom w:val="none" w:color="auto" w:sz="0" w:space="0"/>
            </w:pBdr>
            <w:spacing w:after="0" w:line="240" w:lineRule="auto"/>
            <w:jc w:val="center"/>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文件名称</w:t>
          </w:r>
        </w:p>
      </w:tc>
      <w:tc>
        <w:tcPr>
          <w:tcW w:w="2817" w:type="pct"/>
          <w:gridSpan w:val="3"/>
          <w:noWrap w:val="0"/>
          <w:vAlign w:val="center"/>
        </w:tcPr>
        <w:p w14:paraId="5EC01F98">
          <w:pPr>
            <w:widowControl w:val="0"/>
            <w:pBdr>
              <w:bottom w:val="none" w:color="auto" w:sz="0" w:space="0"/>
            </w:pBdr>
            <w:spacing w:after="0" w:line="240" w:lineRule="auto"/>
            <w:jc w:val="center"/>
            <w:rPr>
              <w:rFonts w:hint="default"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软件质量保证控制程序</w:t>
          </w:r>
        </w:p>
      </w:tc>
      <w:tc>
        <w:tcPr>
          <w:tcW w:w="660" w:type="pct"/>
          <w:noWrap w:val="0"/>
          <w:vAlign w:val="center"/>
        </w:tcPr>
        <w:p w14:paraId="659F7202">
          <w:pPr>
            <w:widowControl w:val="0"/>
            <w:pBdr>
              <w:bottom w:val="none" w:color="auto" w:sz="0" w:space="0"/>
            </w:pBdr>
            <w:spacing w:after="0" w:line="240" w:lineRule="auto"/>
            <w:jc w:val="center"/>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制定部门</w:t>
          </w:r>
        </w:p>
      </w:tc>
      <w:tc>
        <w:tcPr>
          <w:tcW w:w="708" w:type="pct"/>
          <w:noWrap w:val="0"/>
          <w:vAlign w:val="center"/>
        </w:tcPr>
        <w:p w14:paraId="572953B9">
          <w:pPr>
            <w:widowControl w:val="0"/>
            <w:pBdr>
              <w:bottom w:val="none" w:color="auto" w:sz="0" w:space="0"/>
            </w:pBdr>
            <w:spacing w:after="0" w:line="240" w:lineRule="auto"/>
            <w:jc w:val="center"/>
            <w:rPr>
              <w:rFonts w:hint="default"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质量部</w:t>
          </w:r>
        </w:p>
      </w:tc>
    </w:tr>
    <w:tr w14:paraId="64C0A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13" w:type="pct"/>
          <w:noWrap w:val="0"/>
          <w:vAlign w:val="center"/>
        </w:tcPr>
        <w:p w14:paraId="2459E071">
          <w:pPr>
            <w:widowControl w:val="0"/>
            <w:pBdr>
              <w:bottom w:val="none" w:color="auto" w:sz="0" w:space="0"/>
            </w:pBdr>
            <w:spacing w:after="0" w:line="240" w:lineRule="auto"/>
            <w:jc w:val="center"/>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文件编号</w:t>
          </w:r>
        </w:p>
      </w:tc>
      <w:tc>
        <w:tcPr>
          <w:tcW w:w="1124" w:type="pct"/>
          <w:noWrap w:val="0"/>
          <w:vAlign w:val="center"/>
        </w:tcPr>
        <w:p w14:paraId="78846AF3">
          <w:pPr>
            <w:widowControl w:val="0"/>
            <w:pBdr>
              <w:bottom w:val="none" w:color="auto" w:sz="0" w:space="0"/>
            </w:pBdr>
            <w:spacing w:after="0" w:line="240" w:lineRule="auto"/>
            <w:jc w:val="center"/>
            <w:rPr>
              <w:rFonts w:hint="default"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QP-006</w:t>
          </w:r>
        </w:p>
      </w:tc>
      <w:tc>
        <w:tcPr>
          <w:tcW w:w="781" w:type="pct"/>
          <w:noWrap w:val="0"/>
          <w:vAlign w:val="center"/>
        </w:tcPr>
        <w:p w14:paraId="058060EB">
          <w:pPr>
            <w:widowControl w:val="0"/>
            <w:pBdr>
              <w:bottom w:val="none" w:color="auto" w:sz="0" w:space="0"/>
            </w:pBdr>
            <w:spacing w:after="0" w:line="240" w:lineRule="auto"/>
            <w:jc w:val="center"/>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版本号</w:t>
          </w:r>
        </w:p>
      </w:tc>
      <w:tc>
        <w:tcPr>
          <w:tcW w:w="911" w:type="pct"/>
          <w:noWrap w:val="0"/>
          <w:vAlign w:val="center"/>
        </w:tcPr>
        <w:p w14:paraId="06C1F5F5">
          <w:pPr>
            <w:widowControl w:val="0"/>
            <w:pBdr>
              <w:bottom w:val="none" w:color="auto" w:sz="0" w:space="0"/>
            </w:pBdr>
            <w:spacing w:after="0" w:line="240" w:lineRule="auto"/>
            <w:jc w:val="center"/>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A</w:t>
          </w:r>
        </w:p>
      </w:tc>
      <w:tc>
        <w:tcPr>
          <w:tcW w:w="660" w:type="pct"/>
          <w:noWrap w:val="0"/>
          <w:vAlign w:val="center"/>
        </w:tcPr>
        <w:p w14:paraId="580DBFFD">
          <w:pPr>
            <w:widowControl w:val="0"/>
            <w:pBdr>
              <w:bottom w:val="none" w:color="auto" w:sz="0" w:space="0"/>
            </w:pBdr>
            <w:spacing w:after="0" w:line="240" w:lineRule="auto"/>
            <w:jc w:val="center"/>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修订次数</w:t>
          </w:r>
        </w:p>
      </w:tc>
      <w:tc>
        <w:tcPr>
          <w:tcW w:w="708" w:type="pct"/>
          <w:noWrap w:val="0"/>
          <w:vAlign w:val="center"/>
        </w:tcPr>
        <w:p w14:paraId="1E91EE61">
          <w:pPr>
            <w:widowControl w:val="0"/>
            <w:pBdr>
              <w:bottom w:val="none" w:color="auto" w:sz="0" w:space="0"/>
            </w:pBdr>
            <w:spacing w:after="0" w:line="240" w:lineRule="auto"/>
            <w:jc w:val="center"/>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第0次</w:t>
          </w:r>
        </w:p>
      </w:tc>
    </w:tr>
  </w:tbl>
  <w:p w14:paraId="7E11EE2F">
    <w:pPr>
      <w:pStyle w:val="1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9"/>
      <w:tblpPr w:leftFromText="180" w:rightFromText="180" w:vertAnchor="page" w:horzAnchor="page" w:tblpX="1380" w:tblpY="478"/>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2"/>
      <w:gridCol w:w="2215"/>
      <w:gridCol w:w="1539"/>
      <w:gridCol w:w="1797"/>
      <w:gridCol w:w="1301"/>
      <w:gridCol w:w="1400"/>
    </w:tblGrid>
    <w:tr w14:paraId="42B8F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5000" w:type="pct"/>
          <w:gridSpan w:val="6"/>
          <w:noWrap w:val="0"/>
          <w:vAlign w:val="center"/>
        </w:tcPr>
        <w:p w14:paraId="478BEB38">
          <w:pPr>
            <w:widowControl w:val="0"/>
            <w:pBdr>
              <w:bottom w:val="none" w:color="auto" w:sz="0" w:space="0"/>
            </w:pBdr>
            <w:spacing w:after="0" w:line="240" w:lineRule="auto"/>
            <w:jc w:val="center"/>
            <w:rPr>
              <w:rFonts w:hint="default"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 xml:space="preserve">童伴有康（河北）科技有限公司            </w:t>
          </w:r>
          <w:r>
            <w:rPr>
              <w:rFonts w:hint="eastAsia" w:ascii="宋体" w:hAnsi="宋体" w:eastAsia="宋体" w:cs="宋体"/>
              <w:kern w:val="2"/>
              <w:sz w:val="24"/>
              <w:szCs w:val="24"/>
              <w:lang w:val="en-US" w:eastAsia="zh-CN"/>
            </w:rPr>
            <w:fldChar w:fldCharType="begin"/>
          </w:r>
          <w:r>
            <w:rPr>
              <w:rFonts w:hint="eastAsia" w:ascii="宋体" w:hAnsi="宋体" w:eastAsia="宋体" w:cs="宋体"/>
              <w:kern w:val="2"/>
              <w:sz w:val="24"/>
              <w:szCs w:val="24"/>
              <w:lang w:val="en-US" w:eastAsia="zh-CN"/>
            </w:rPr>
            <w:instrText xml:space="preserve"> PAGE  \* Arabic  \* MERGEFORMAT </w:instrText>
          </w:r>
          <w:r>
            <w:rPr>
              <w:rFonts w:hint="eastAsia" w:ascii="宋体" w:hAnsi="宋体" w:eastAsia="宋体" w:cs="宋体"/>
              <w:kern w:val="2"/>
              <w:sz w:val="24"/>
              <w:szCs w:val="24"/>
              <w:lang w:val="en-US" w:eastAsia="zh-CN"/>
            </w:rPr>
            <w:fldChar w:fldCharType="separate"/>
          </w:r>
          <w:r>
            <w:rPr>
              <w:rFonts w:hint="eastAsia" w:ascii="宋体" w:hAnsi="宋体" w:eastAsia="宋体" w:cs="宋体"/>
              <w:kern w:val="2"/>
              <w:sz w:val="24"/>
              <w:szCs w:val="24"/>
              <w:lang w:val="en-US" w:eastAsia="zh-CN"/>
            </w:rPr>
            <w:t>1</w:t>
          </w:r>
          <w:r>
            <w:rPr>
              <w:rFonts w:hint="eastAsia" w:ascii="宋体" w:hAnsi="宋体" w:eastAsia="宋体" w:cs="宋体"/>
              <w:kern w:val="2"/>
              <w:sz w:val="24"/>
              <w:szCs w:val="24"/>
              <w:lang w:val="en-US" w:eastAsia="zh-CN"/>
            </w:rPr>
            <w:fldChar w:fldCharType="end"/>
          </w:r>
          <w:r>
            <w:rPr>
              <w:rFonts w:hint="eastAsia" w:ascii="宋体" w:hAnsi="宋体" w:eastAsia="宋体" w:cs="宋体"/>
              <w:kern w:val="2"/>
              <w:sz w:val="24"/>
              <w:szCs w:val="24"/>
              <w:lang w:val="en-US" w:eastAsia="zh-CN"/>
            </w:rPr>
            <w:t>/</w:t>
          </w:r>
          <w:r>
            <w:rPr>
              <w:rFonts w:hint="eastAsia" w:ascii="宋体" w:hAnsi="宋体" w:eastAsia="宋体" w:cs="宋体"/>
              <w:kern w:val="2"/>
              <w:sz w:val="24"/>
              <w:szCs w:val="24"/>
              <w:lang w:val="en-US" w:eastAsia="zh-CN"/>
            </w:rPr>
            <w:fldChar w:fldCharType="begin"/>
          </w:r>
          <w:r>
            <w:rPr>
              <w:rFonts w:hint="eastAsia" w:ascii="宋体" w:hAnsi="宋体" w:eastAsia="宋体" w:cs="宋体"/>
              <w:kern w:val="2"/>
              <w:sz w:val="24"/>
              <w:szCs w:val="24"/>
              <w:lang w:val="en-US" w:eastAsia="zh-CN"/>
            </w:rPr>
            <w:instrText xml:space="preserve"> SECTIONPAGES  \* Arabic  \* MERGEFORMAT </w:instrText>
          </w:r>
          <w:r>
            <w:rPr>
              <w:rFonts w:hint="eastAsia" w:ascii="宋体" w:hAnsi="宋体" w:eastAsia="宋体" w:cs="宋体"/>
              <w:kern w:val="2"/>
              <w:sz w:val="24"/>
              <w:szCs w:val="24"/>
              <w:lang w:val="en-US" w:eastAsia="zh-CN"/>
            </w:rPr>
            <w:fldChar w:fldCharType="separate"/>
          </w:r>
          <w:r>
            <w:rPr>
              <w:rFonts w:hint="eastAsia" w:ascii="宋体" w:hAnsi="宋体" w:eastAsia="宋体" w:cs="宋体"/>
              <w:kern w:val="2"/>
              <w:sz w:val="24"/>
              <w:szCs w:val="24"/>
              <w:lang w:val="en-US" w:eastAsia="zh-CN"/>
            </w:rPr>
            <w:t>40</w:t>
          </w:r>
          <w:r>
            <w:rPr>
              <w:rFonts w:hint="eastAsia" w:ascii="宋体" w:hAnsi="宋体" w:eastAsia="宋体" w:cs="宋体"/>
              <w:kern w:val="2"/>
              <w:sz w:val="24"/>
              <w:szCs w:val="24"/>
              <w:lang w:val="en-US" w:eastAsia="zh-CN"/>
            </w:rPr>
            <w:fldChar w:fldCharType="end"/>
          </w:r>
        </w:p>
      </w:tc>
    </w:tr>
    <w:tr w14:paraId="42492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13" w:type="pct"/>
          <w:noWrap w:val="0"/>
          <w:vAlign w:val="center"/>
        </w:tcPr>
        <w:p w14:paraId="5D07628B">
          <w:pPr>
            <w:widowControl w:val="0"/>
            <w:pBdr>
              <w:bottom w:val="none" w:color="auto" w:sz="0" w:space="0"/>
            </w:pBdr>
            <w:spacing w:after="0" w:line="240" w:lineRule="auto"/>
            <w:jc w:val="center"/>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文件名称</w:t>
          </w:r>
        </w:p>
      </w:tc>
      <w:tc>
        <w:tcPr>
          <w:tcW w:w="2817" w:type="pct"/>
          <w:gridSpan w:val="3"/>
          <w:noWrap w:val="0"/>
          <w:vAlign w:val="center"/>
        </w:tcPr>
        <w:p w14:paraId="46DAAD38">
          <w:pPr>
            <w:widowControl w:val="0"/>
            <w:pBdr>
              <w:bottom w:val="none" w:color="auto" w:sz="0" w:space="0"/>
            </w:pBdr>
            <w:spacing w:after="0" w:line="240" w:lineRule="auto"/>
            <w:jc w:val="center"/>
            <w:rPr>
              <w:rFonts w:hint="default"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软件质量保证控制程序</w:t>
          </w:r>
        </w:p>
      </w:tc>
      <w:tc>
        <w:tcPr>
          <w:tcW w:w="660" w:type="pct"/>
          <w:noWrap w:val="0"/>
          <w:vAlign w:val="center"/>
        </w:tcPr>
        <w:p w14:paraId="5DC31C6D">
          <w:pPr>
            <w:widowControl w:val="0"/>
            <w:pBdr>
              <w:bottom w:val="none" w:color="auto" w:sz="0" w:space="0"/>
            </w:pBdr>
            <w:spacing w:after="0" w:line="240" w:lineRule="auto"/>
            <w:jc w:val="center"/>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制定部门</w:t>
          </w:r>
        </w:p>
      </w:tc>
      <w:tc>
        <w:tcPr>
          <w:tcW w:w="708" w:type="pct"/>
          <w:noWrap w:val="0"/>
          <w:vAlign w:val="center"/>
        </w:tcPr>
        <w:p w14:paraId="2A3DFCBC">
          <w:pPr>
            <w:widowControl w:val="0"/>
            <w:pBdr>
              <w:bottom w:val="none" w:color="auto" w:sz="0" w:space="0"/>
            </w:pBdr>
            <w:spacing w:after="0" w:line="240" w:lineRule="auto"/>
            <w:jc w:val="center"/>
            <w:rPr>
              <w:rFonts w:hint="default"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质量部</w:t>
          </w:r>
        </w:p>
      </w:tc>
    </w:tr>
    <w:tr w14:paraId="06902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13" w:type="pct"/>
          <w:noWrap w:val="0"/>
          <w:vAlign w:val="center"/>
        </w:tcPr>
        <w:p w14:paraId="53E360AC">
          <w:pPr>
            <w:widowControl w:val="0"/>
            <w:pBdr>
              <w:bottom w:val="none" w:color="auto" w:sz="0" w:space="0"/>
            </w:pBdr>
            <w:spacing w:after="0" w:line="240" w:lineRule="auto"/>
            <w:jc w:val="center"/>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文件编号</w:t>
          </w:r>
        </w:p>
      </w:tc>
      <w:tc>
        <w:tcPr>
          <w:tcW w:w="1124" w:type="pct"/>
          <w:noWrap w:val="0"/>
          <w:vAlign w:val="center"/>
        </w:tcPr>
        <w:p w14:paraId="5771ABC6">
          <w:pPr>
            <w:widowControl w:val="0"/>
            <w:pBdr>
              <w:bottom w:val="none" w:color="auto" w:sz="0" w:space="0"/>
            </w:pBdr>
            <w:spacing w:after="0" w:line="240" w:lineRule="auto"/>
            <w:jc w:val="center"/>
            <w:rPr>
              <w:rFonts w:hint="default"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QP-006</w:t>
          </w:r>
        </w:p>
      </w:tc>
      <w:tc>
        <w:tcPr>
          <w:tcW w:w="781" w:type="pct"/>
          <w:noWrap w:val="0"/>
          <w:vAlign w:val="center"/>
        </w:tcPr>
        <w:p w14:paraId="6381AE03">
          <w:pPr>
            <w:widowControl w:val="0"/>
            <w:pBdr>
              <w:bottom w:val="none" w:color="auto" w:sz="0" w:space="0"/>
            </w:pBdr>
            <w:spacing w:after="0" w:line="240" w:lineRule="auto"/>
            <w:jc w:val="center"/>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版本号</w:t>
          </w:r>
        </w:p>
      </w:tc>
      <w:tc>
        <w:tcPr>
          <w:tcW w:w="911" w:type="pct"/>
          <w:noWrap w:val="0"/>
          <w:vAlign w:val="center"/>
        </w:tcPr>
        <w:p w14:paraId="58348468">
          <w:pPr>
            <w:widowControl w:val="0"/>
            <w:pBdr>
              <w:bottom w:val="none" w:color="auto" w:sz="0" w:space="0"/>
            </w:pBdr>
            <w:spacing w:after="0" w:line="240" w:lineRule="auto"/>
            <w:jc w:val="center"/>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A</w:t>
          </w:r>
        </w:p>
      </w:tc>
      <w:tc>
        <w:tcPr>
          <w:tcW w:w="660" w:type="pct"/>
          <w:noWrap w:val="0"/>
          <w:vAlign w:val="center"/>
        </w:tcPr>
        <w:p w14:paraId="2A2B5A2C">
          <w:pPr>
            <w:widowControl w:val="0"/>
            <w:pBdr>
              <w:bottom w:val="none" w:color="auto" w:sz="0" w:space="0"/>
            </w:pBdr>
            <w:spacing w:after="0" w:line="240" w:lineRule="auto"/>
            <w:jc w:val="center"/>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修订次数</w:t>
          </w:r>
        </w:p>
      </w:tc>
      <w:tc>
        <w:tcPr>
          <w:tcW w:w="708" w:type="pct"/>
          <w:noWrap w:val="0"/>
          <w:vAlign w:val="center"/>
        </w:tcPr>
        <w:p w14:paraId="052AD859">
          <w:pPr>
            <w:widowControl w:val="0"/>
            <w:pBdr>
              <w:bottom w:val="none" w:color="auto" w:sz="0" w:space="0"/>
            </w:pBdr>
            <w:spacing w:after="0" w:line="240" w:lineRule="auto"/>
            <w:jc w:val="center"/>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第0次</w:t>
          </w:r>
        </w:p>
      </w:tc>
    </w:tr>
    <w:tr w14:paraId="4845F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13" w:type="pct"/>
          <w:noWrap w:val="0"/>
          <w:vAlign w:val="center"/>
        </w:tcPr>
        <w:p w14:paraId="23B35FA8">
          <w:pPr>
            <w:widowControl w:val="0"/>
            <w:pBdr>
              <w:bottom w:val="none" w:color="auto" w:sz="0" w:space="0"/>
            </w:pBdr>
            <w:spacing w:after="0" w:line="240" w:lineRule="auto"/>
            <w:jc w:val="center"/>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制/修订人</w:t>
          </w:r>
        </w:p>
      </w:tc>
      <w:tc>
        <w:tcPr>
          <w:tcW w:w="1124" w:type="pct"/>
          <w:noWrap w:val="0"/>
          <w:vAlign w:val="center"/>
        </w:tcPr>
        <w:p w14:paraId="4749284C">
          <w:pPr>
            <w:widowControl w:val="0"/>
            <w:pBdr>
              <w:bottom w:val="none" w:color="auto" w:sz="0" w:space="0"/>
            </w:pBdr>
            <w:spacing w:after="0" w:line="240" w:lineRule="auto"/>
            <w:jc w:val="center"/>
            <w:rPr>
              <w:rFonts w:hint="default" w:ascii="宋体" w:hAnsi="宋体" w:eastAsia="宋体" w:cs="宋体"/>
              <w:kern w:val="2"/>
              <w:sz w:val="24"/>
              <w:szCs w:val="24"/>
              <w:lang w:val="en-US" w:eastAsia="zh-CN"/>
            </w:rPr>
          </w:pPr>
        </w:p>
      </w:tc>
      <w:tc>
        <w:tcPr>
          <w:tcW w:w="781" w:type="pct"/>
          <w:noWrap w:val="0"/>
          <w:vAlign w:val="center"/>
        </w:tcPr>
        <w:p w14:paraId="1D7EB41B">
          <w:pPr>
            <w:widowControl w:val="0"/>
            <w:pBdr>
              <w:bottom w:val="none" w:color="auto" w:sz="0" w:space="0"/>
            </w:pBdr>
            <w:spacing w:after="0" w:line="240" w:lineRule="auto"/>
            <w:jc w:val="center"/>
            <w:rPr>
              <w:rFonts w:hint="default"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审核人</w:t>
          </w:r>
        </w:p>
      </w:tc>
      <w:tc>
        <w:tcPr>
          <w:tcW w:w="911" w:type="pct"/>
          <w:noWrap w:val="0"/>
          <w:vAlign w:val="center"/>
        </w:tcPr>
        <w:p w14:paraId="388F7B96">
          <w:pPr>
            <w:widowControl w:val="0"/>
            <w:pBdr>
              <w:bottom w:val="none" w:color="auto" w:sz="0" w:space="0"/>
            </w:pBdr>
            <w:spacing w:after="0" w:line="240" w:lineRule="auto"/>
            <w:jc w:val="center"/>
            <w:rPr>
              <w:rFonts w:hint="default" w:ascii="宋体" w:hAnsi="宋体" w:eastAsia="宋体" w:cs="宋体"/>
              <w:kern w:val="2"/>
              <w:sz w:val="24"/>
              <w:szCs w:val="24"/>
              <w:lang w:val="en-US" w:eastAsia="zh-CN"/>
            </w:rPr>
          </w:pPr>
        </w:p>
      </w:tc>
      <w:tc>
        <w:tcPr>
          <w:tcW w:w="660" w:type="pct"/>
          <w:noWrap w:val="0"/>
          <w:vAlign w:val="center"/>
        </w:tcPr>
        <w:p w14:paraId="656DD20E">
          <w:pPr>
            <w:widowControl w:val="0"/>
            <w:pBdr>
              <w:bottom w:val="none" w:color="auto" w:sz="0" w:space="0"/>
            </w:pBdr>
            <w:spacing w:after="0" w:line="240" w:lineRule="auto"/>
            <w:jc w:val="center"/>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批准人</w:t>
          </w:r>
        </w:p>
      </w:tc>
      <w:tc>
        <w:tcPr>
          <w:tcW w:w="708" w:type="pct"/>
          <w:noWrap w:val="0"/>
          <w:vAlign w:val="center"/>
        </w:tcPr>
        <w:p w14:paraId="0A89A8A1">
          <w:pPr>
            <w:widowControl w:val="0"/>
            <w:pBdr>
              <w:bottom w:val="none" w:color="auto" w:sz="0" w:space="0"/>
            </w:pBdr>
            <w:spacing w:after="0" w:line="240" w:lineRule="auto"/>
            <w:jc w:val="center"/>
            <w:rPr>
              <w:rFonts w:hint="default" w:ascii="宋体" w:hAnsi="宋体" w:eastAsia="宋体" w:cs="宋体"/>
              <w:kern w:val="2"/>
              <w:sz w:val="24"/>
              <w:szCs w:val="24"/>
              <w:lang w:val="en-US" w:eastAsia="zh-CN"/>
            </w:rPr>
          </w:pPr>
        </w:p>
      </w:tc>
    </w:tr>
    <w:tr w14:paraId="37CA0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13" w:type="pct"/>
          <w:noWrap w:val="0"/>
          <w:vAlign w:val="center"/>
        </w:tcPr>
        <w:p w14:paraId="5EC0E6E2">
          <w:pPr>
            <w:widowControl w:val="0"/>
            <w:pBdr>
              <w:bottom w:val="none" w:color="auto" w:sz="0" w:space="0"/>
            </w:pBdr>
            <w:spacing w:after="0" w:line="240" w:lineRule="auto"/>
            <w:jc w:val="center"/>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制修订日期</w:t>
          </w:r>
        </w:p>
      </w:tc>
      <w:tc>
        <w:tcPr>
          <w:tcW w:w="1124" w:type="pct"/>
          <w:noWrap w:val="0"/>
          <w:vAlign w:val="center"/>
        </w:tcPr>
        <w:p w14:paraId="54839FB5">
          <w:pPr>
            <w:widowControl w:val="0"/>
            <w:pBdr>
              <w:bottom w:val="none" w:color="auto" w:sz="0" w:space="0"/>
            </w:pBdr>
            <w:spacing w:after="0" w:line="240" w:lineRule="auto"/>
            <w:jc w:val="center"/>
            <w:rPr>
              <w:rFonts w:hint="eastAsia" w:ascii="宋体" w:hAnsi="宋体" w:eastAsia="宋体" w:cs="宋体"/>
              <w:kern w:val="2"/>
              <w:sz w:val="24"/>
              <w:szCs w:val="24"/>
              <w:lang w:val="en-US" w:eastAsia="zh-CN"/>
            </w:rPr>
          </w:pPr>
        </w:p>
      </w:tc>
      <w:tc>
        <w:tcPr>
          <w:tcW w:w="781" w:type="pct"/>
          <w:noWrap w:val="0"/>
          <w:vAlign w:val="center"/>
        </w:tcPr>
        <w:p w14:paraId="5019764F">
          <w:pPr>
            <w:widowControl w:val="0"/>
            <w:pBdr>
              <w:bottom w:val="none" w:color="auto" w:sz="0" w:space="0"/>
            </w:pBdr>
            <w:spacing w:after="0" w:line="240" w:lineRule="auto"/>
            <w:jc w:val="center"/>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审核日期</w:t>
          </w:r>
        </w:p>
      </w:tc>
      <w:tc>
        <w:tcPr>
          <w:tcW w:w="911" w:type="pct"/>
          <w:noWrap w:val="0"/>
          <w:vAlign w:val="center"/>
        </w:tcPr>
        <w:p w14:paraId="485BC743">
          <w:pPr>
            <w:widowControl w:val="0"/>
            <w:pBdr>
              <w:bottom w:val="none" w:color="auto" w:sz="0" w:space="0"/>
            </w:pBdr>
            <w:spacing w:after="0" w:line="240" w:lineRule="auto"/>
            <w:jc w:val="center"/>
            <w:rPr>
              <w:rFonts w:hint="eastAsia" w:ascii="宋体" w:hAnsi="宋体" w:eastAsia="宋体" w:cs="宋体"/>
              <w:kern w:val="2"/>
              <w:sz w:val="24"/>
              <w:szCs w:val="24"/>
              <w:lang w:val="en-US" w:eastAsia="zh-CN"/>
            </w:rPr>
          </w:pPr>
        </w:p>
      </w:tc>
      <w:tc>
        <w:tcPr>
          <w:tcW w:w="660" w:type="pct"/>
          <w:noWrap w:val="0"/>
          <w:vAlign w:val="center"/>
        </w:tcPr>
        <w:p w14:paraId="7F75B401">
          <w:pPr>
            <w:widowControl w:val="0"/>
            <w:pBdr>
              <w:bottom w:val="none" w:color="auto" w:sz="0" w:space="0"/>
            </w:pBdr>
            <w:spacing w:after="0" w:line="240" w:lineRule="auto"/>
            <w:jc w:val="center"/>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批准日期</w:t>
          </w:r>
        </w:p>
      </w:tc>
      <w:tc>
        <w:tcPr>
          <w:tcW w:w="708" w:type="pct"/>
          <w:noWrap w:val="0"/>
          <w:vAlign w:val="center"/>
        </w:tcPr>
        <w:p w14:paraId="68DF716F">
          <w:pPr>
            <w:widowControl w:val="0"/>
            <w:pBdr>
              <w:bottom w:val="none" w:color="auto" w:sz="0" w:space="0"/>
            </w:pBdr>
            <w:spacing w:after="0" w:line="240" w:lineRule="auto"/>
            <w:jc w:val="center"/>
            <w:rPr>
              <w:rFonts w:hint="eastAsia" w:ascii="宋体" w:hAnsi="宋体" w:eastAsia="宋体" w:cs="宋体"/>
              <w:kern w:val="2"/>
              <w:sz w:val="24"/>
              <w:szCs w:val="24"/>
              <w:lang w:val="en-US" w:eastAsia="zh-CN"/>
            </w:rPr>
          </w:pPr>
        </w:p>
      </w:tc>
    </w:tr>
    <w:tr w14:paraId="655C9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13" w:type="pct"/>
          <w:noWrap w:val="0"/>
          <w:vAlign w:val="center"/>
        </w:tcPr>
        <w:p w14:paraId="13DE65BB">
          <w:pPr>
            <w:widowControl w:val="0"/>
            <w:pBdr>
              <w:bottom w:val="none" w:color="auto" w:sz="0" w:space="0"/>
            </w:pBdr>
            <w:spacing w:after="0" w:line="240" w:lineRule="auto"/>
            <w:jc w:val="center"/>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分发部门</w:t>
          </w:r>
        </w:p>
      </w:tc>
      <w:tc>
        <w:tcPr>
          <w:tcW w:w="2817" w:type="pct"/>
          <w:gridSpan w:val="3"/>
          <w:noWrap w:val="0"/>
          <w:vAlign w:val="center"/>
        </w:tcPr>
        <w:p w14:paraId="17875C62">
          <w:pPr>
            <w:widowControl w:val="0"/>
            <w:pBdr>
              <w:bottom w:val="none" w:color="auto" w:sz="0" w:space="0"/>
            </w:pBdr>
            <w:spacing w:after="0" w:line="240" w:lineRule="auto"/>
            <w:jc w:val="center"/>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质量部、技术部</w:t>
          </w:r>
        </w:p>
      </w:tc>
      <w:tc>
        <w:tcPr>
          <w:tcW w:w="660" w:type="pct"/>
          <w:noWrap w:val="0"/>
          <w:vAlign w:val="center"/>
        </w:tcPr>
        <w:p w14:paraId="246D4B75">
          <w:pPr>
            <w:widowControl w:val="0"/>
            <w:pBdr>
              <w:bottom w:val="none" w:color="auto" w:sz="0" w:space="0"/>
            </w:pBdr>
            <w:spacing w:after="0" w:line="240" w:lineRule="auto"/>
            <w:jc w:val="center"/>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生效日期</w:t>
          </w:r>
        </w:p>
      </w:tc>
      <w:tc>
        <w:tcPr>
          <w:tcW w:w="708" w:type="pct"/>
          <w:noWrap w:val="0"/>
          <w:vAlign w:val="center"/>
        </w:tcPr>
        <w:p w14:paraId="301C2F2A">
          <w:pPr>
            <w:widowControl w:val="0"/>
            <w:pBdr>
              <w:bottom w:val="none" w:color="auto" w:sz="0" w:space="0"/>
            </w:pBdr>
            <w:spacing w:after="0" w:line="240" w:lineRule="auto"/>
            <w:jc w:val="center"/>
            <w:rPr>
              <w:rFonts w:hint="eastAsia" w:ascii="宋体" w:hAnsi="宋体" w:eastAsia="宋体" w:cs="宋体"/>
              <w:kern w:val="2"/>
              <w:sz w:val="24"/>
              <w:szCs w:val="24"/>
              <w:lang w:val="en-US" w:eastAsia="zh-CN"/>
            </w:rPr>
          </w:pPr>
        </w:p>
      </w:tc>
    </w:tr>
  </w:tbl>
  <w:p w14:paraId="5DB4F7C5">
    <w:pPr>
      <w:pStyle w:val="1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888201"/>
    <w:multiLevelType w:val="multilevel"/>
    <w:tmpl w:val="D8888201"/>
    <w:lvl w:ilvl="0" w:tentative="0">
      <w:start w:val="1"/>
      <w:numFmt w:val="decimal"/>
      <w:lvlText w:val="%1 "/>
      <w:lvlJc w:val="left"/>
      <w:pPr>
        <w:ind w:left="425" w:hanging="425"/>
      </w:pPr>
      <w:rPr>
        <w:rFonts w:hint="default" w:ascii="宋体" w:hAnsi="宋体" w:eastAsia="宋体" w:cs="宋体"/>
        <w:sz w:val="24"/>
        <w:szCs w:val="24"/>
      </w:rPr>
    </w:lvl>
    <w:lvl w:ilvl="1" w:tentative="0">
      <w:start w:val="1"/>
      <w:numFmt w:val="decimal"/>
      <w:lvlText w:val="%1.%2 "/>
      <w:lvlJc w:val="left"/>
      <w:pPr>
        <w:ind w:left="567" w:hanging="567"/>
      </w:pPr>
      <w:rPr>
        <w:rFonts w:hint="default" w:ascii="宋体" w:hAnsi="宋体" w:eastAsia="宋体" w:cs="宋体"/>
      </w:rPr>
    </w:lvl>
    <w:lvl w:ilvl="2" w:tentative="0">
      <w:start w:val="1"/>
      <w:numFmt w:val="decimal"/>
      <w:lvlText w:val="%1.%2.%3 "/>
      <w:lvlJc w:val="left"/>
      <w:pPr>
        <w:ind w:left="0" w:leftChars="0" w:firstLine="0" w:firstLineChars="0"/>
      </w:pPr>
      <w:rPr>
        <w:rFonts w:hint="default" w:ascii="宋体" w:hAnsi="宋体" w:eastAsia="宋体" w:cs="宋体"/>
      </w:rPr>
    </w:lvl>
    <w:lvl w:ilvl="3" w:tentative="0">
      <w:start w:val="1"/>
      <w:numFmt w:val="decimal"/>
      <w:suff w:val="nothing"/>
      <w:lvlText w:val="%1.%2.%3.%4 "/>
      <w:lvlJc w:val="left"/>
      <w:pPr>
        <w:ind w:left="0" w:leftChars="0" w:firstLine="0" w:firstLineChars="0"/>
      </w:pPr>
      <w:rPr>
        <w:rFonts w:hint="default" w:ascii="宋体" w:hAnsi="宋体" w:eastAsia="宋体" w:cs="宋体"/>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wMDBhMDJiNDE3ZTdmOGFhMDYxNmVjY2RhOTA3ZTEifQ=="/>
  </w:docVars>
  <w:rsids>
    <w:rsidRoot w:val="00CF228D"/>
    <w:rsid w:val="0002098D"/>
    <w:rsid w:val="00025F67"/>
    <w:rsid w:val="000A1077"/>
    <w:rsid w:val="00267E6F"/>
    <w:rsid w:val="00303BCA"/>
    <w:rsid w:val="00314539"/>
    <w:rsid w:val="00366957"/>
    <w:rsid w:val="004B62CC"/>
    <w:rsid w:val="004C7738"/>
    <w:rsid w:val="004F0973"/>
    <w:rsid w:val="00560654"/>
    <w:rsid w:val="00580B99"/>
    <w:rsid w:val="005E3920"/>
    <w:rsid w:val="00645F9E"/>
    <w:rsid w:val="00684BCE"/>
    <w:rsid w:val="006907F9"/>
    <w:rsid w:val="006B28AD"/>
    <w:rsid w:val="006D2AA6"/>
    <w:rsid w:val="007B52D7"/>
    <w:rsid w:val="007F6849"/>
    <w:rsid w:val="00887D6D"/>
    <w:rsid w:val="00894734"/>
    <w:rsid w:val="008A1749"/>
    <w:rsid w:val="009056DE"/>
    <w:rsid w:val="00954A10"/>
    <w:rsid w:val="00A55002"/>
    <w:rsid w:val="00A56A69"/>
    <w:rsid w:val="00BC1436"/>
    <w:rsid w:val="00BC46E5"/>
    <w:rsid w:val="00C3227B"/>
    <w:rsid w:val="00C703A1"/>
    <w:rsid w:val="00CF228D"/>
    <w:rsid w:val="00D90408"/>
    <w:rsid w:val="00E1584F"/>
    <w:rsid w:val="00F569D8"/>
    <w:rsid w:val="00FF6FA1"/>
    <w:rsid w:val="01193A0A"/>
    <w:rsid w:val="02342292"/>
    <w:rsid w:val="02636133"/>
    <w:rsid w:val="02757E51"/>
    <w:rsid w:val="02E0204E"/>
    <w:rsid w:val="034E0171"/>
    <w:rsid w:val="04716B71"/>
    <w:rsid w:val="048E70AF"/>
    <w:rsid w:val="049E18A3"/>
    <w:rsid w:val="04A1134A"/>
    <w:rsid w:val="051364DB"/>
    <w:rsid w:val="05373453"/>
    <w:rsid w:val="05562216"/>
    <w:rsid w:val="055916F8"/>
    <w:rsid w:val="056C5692"/>
    <w:rsid w:val="05986D85"/>
    <w:rsid w:val="059A5D58"/>
    <w:rsid w:val="059E511C"/>
    <w:rsid w:val="05AC0F14"/>
    <w:rsid w:val="06574BB6"/>
    <w:rsid w:val="06577624"/>
    <w:rsid w:val="06A95303"/>
    <w:rsid w:val="06FE4884"/>
    <w:rsid w:val="07491F79"/>
    <w:rsid w:val="07B01B48"/>
    <w:rsid w:val="07E63EB6"/>
    <w:rsid w:val="07EA4E53"/>
    <w:rsid w:val="082B0FF9"/>
    <w:rsid w:val="08785054"/>
    <w:rsid w:val="09621693"/>
    <w:rsid w:val="09E46306"/>
    <w:rsid w:val="0A196031"/>
    <w:rsid w:val="0A444BE9"/>
    <w:rsid w:val="0A55196C"/>
    <w:rsid w:val="0A7F0E22"/>
    <w:rsid w:val="0AD370AE"/>
    <w:rsid w:val="0AD92B87"/>
    <w:rsid w:val="0B1970ED"/>
    <w:rsid w:val="0B312645"/>
    <w:rsid w:val="0B3749C3"/>
    <w:rsid w:val="0B846423"/>
    <w:rsid w:val="0B97498B"/>
    <w:rsid w:val="0C4E24FB"/>
    <w:rsid w:val="0CA25FDC"/>
    <w:rsid w:val="0CAC1B14"/>
    <w:rsid w:val="0CB52AC8"/>
    <w:rsid w:val="0CC862EC"/>
    <w:rsid w:val="0D932638"/>
    <w:rsid w:val="0DCE131A"/>
    <w:rsid w:val="0E285FE2"/>
    <w:rsid w:val="0E4C6B04"/>
    <w:rsid w:val="0EC55B18"/>
    <w:rsid w:val="0EEA058F"/>
    <w:rsid w:val="0EF17A3F"/>
    <w:rsid w:val="0F1437AA"/>
    <w:rsid w:val="0F1747C6"/>
    <w:rsid w:val="0F587DF9"/>
    <w:rsid w:val="0F873E78"/>
    <w:rsid w:val="0FD70FD3"/>
    <w:rsid w:val="10F62C49"/>
    <w:rsid w:val="1128253C"/>
    <w:rsid w:val="11521ED5"/>
    <w:rsid w:val="11A3553B"/>
    <w:rsid w:val="12460FD1"/>
    <w:rsid w:val="12A866C6"/>
    <w:rsid w:val="12BE7248"/>
    <w:rsid w:val="12E80D4B"/>
    <w:rsid w:val="131C683B"/>
    <w:rsid w:val="147F7895"/>
    <w:rsid w:val="14A26BF0"/>
    <w:rsid w:val="14E04912"/>
    <w:rsid w:val="15703CF9"/>
    <w:rsid w:val="15C13CFF"/>
    <w:rsid w:val="15C91C89"/>
    <w:rsid w:val="15E37A27"/>
    <w:rsid w:val="164A55FE"/>
    <w:rsid w:val="16B61CE3"/>
    <w:rsid w:val="174128D9"/>
    <w:rsid w:val="17896B38"/>
    <w:rsid w:val="17E138B8"/>
    <w:rsid w:val="17F82460"/>
    <w:rsid w:val="182124F9"/>
    <w:rsid w:val="18D64F94"/>
    <w:rsid w:val="18E35EAE"/>
    <w:rsid w:val="191E1E75"/>
    <w:rsid w:val="196F09CD"/>
    <w:rsid w:val="1A1438EE"/>
    <w:rsid w:val="1A7D0DB0"/>
    <w:rsid w:val="1AA56A4E"/>
    <w:rsid w:val="1B59507A"/>
    <w:rsid w:val="1B6340E9"/>
    <w:rsid w:val="1B716ECA"/>
    <w:rsid w:val="1B9F0BE2"/>
    <w:rsid w:val="1C05030F"/>
    <w:rsid w:val="1C4B20D5"/>
    <w:rsid w:val="1C5C5B78"/>
    <w:rsid w:val="1CB01B2D"/>
    <w:rsid w:val="1CBA25C9"/>
    <w:rsid w:val="1CCE4CB2"/>
    <w:rsid w:val="1D134B3A"/>
    <w:rsid w:val="1D295970"/>
    <w:rsid w:val="1DCD6584"/>
    <w:rsid w:val="1DCF266F"/>
    <w:rsid w:val="1DE55F85"/>
    <w:rsid w:val="1E591F9A"/>
    <w:rsid w:val="1E823EFD"/>
    <w:rsid w:val="1E834D52"/>
    <w:rsid w:val="1EF14055"/>
    <w:rsid w:val="1EFD2BD8"/>
    <w:rsid w:val="1F47697B"/>
    <w:rsid w:val="1FC46FBE"/>
    <w:rsid w:val="1FE42B31"/>
    <w:rsid w:val="1FFF1D07"/>
    <w:rsid w:val="203F6696"/>
    <w:rsid w:val="20D9425F"/>
    <w:rsid w:val="20E7257B"/>
    <w:rsid w:val="219565F3"/>
    <w:rsid w:val="21AE05FC"/>
    <w:rsid w:val="21B14491"/>
    <w:rsid w:val="2234465C"/>
    <w:rsid w:val="23DB0985"/>
    <w:rsid w:val="23E506BC"/>
    <w:rsid w:val="241024FB"/>
    <w:rsid w:val="242460C8"/>
    <w:rsid w:val="24811D2B"/>
    <w:rsid w:val="24A653B2"/>
    <w:rsid w:val="24D423D8"/>
    <w:rsid w:val="25887C8A"/>
    <w:rsid w:val="258D5FA7"/>
    <w:rsid w:val="25D174A6"/>
    <w:rsid w:val="265C1390"/>
    <w:rsid w:val="268D24BE"/>
    <w:rsid w:val="26D624A7"/>
    <w:rsid w:val="2708132F"/>
    <w:rsid w:val="27106819"/>
    <w:rsid w:val="27261221"/>
    <w:rsid w:val="273D1AF2"/>
    <w:rsid w:val="27515B0E"/>
    <w:rsid w:val="28015A6E"/>
    <w:rsid w:val="28626338"/>
    <w:rsid w:val="28670427"/>
    <w:rsid w:val="28B75A8D"/>
    <w:rsid w:val="28ED4F31"/>
    <w:rsid w:val="29BA64AC"/>
    <w:rsid w:val="29CC74EA"/>
    <w:rsid w:val="2A597821"/>
    <w:rsid w:val="2A6C6F90"/>
    <w:rsid w:val="2A6F45A2"/>
    <w:rsid w:val="2A934FA3"/>
    <w:rsid w:val="2AF27A7E"/>
    <w:rsid w:val="2B113DA6"/>
    <w:rsid w:val="2B275726"/>
    <w:rsid w:val="2B5C2D02"/>
    <w:rsid w:val="2B6A08C1"/>
    <w:rsid w:val="2B6B6A98"/>
    <w:rsid w:val="2B8A6A35"/>
    <w:rsid w:val="2BBE1881"/>
    <w:rsid w:val="2BEE26FE"/>
    <w:rsid w:val="2C216784"/>
    <w:rsid w:val="2C4F66D7"/>
    <w:rsid w:val="2C5830DA"/>
    <w:rsid w:val="2C6D7784"/>
    <w:rsid w:val="2D7F1887"/>
    <w:rsid w:val="2DDB7535"/>
    <w:rsid w:val="2E542553"/>
    <w:rsid w:val="2E6F29D9"/>
    <w:rsid w:val="2E751A22"/>
    <w:rsid w:val="2E8A3AF2"/>
    <w:rsid w:val="2F606BCD"/>
    <w:rsid w:val="2F8813A1"/>
    <w:rsid w:val="2FF90A86"/>
    <w:rsid w:val="312D6B49"/>
    <w:rsid w:val="31891ECE"/>
    <w:rsid w:val="31B76021"/>
    <w:rsid w:val="31D80F05"/>
    <w:rsid w:val="32262023"/>
    <w:rsid w:val="322F13AC"/>
    <w:rsid w:val="3238558F"/>
    <w:rsid w:val="3241202A"/>
    <w:rsid w:val="324F3419"/>
    <w:rsid w:val="325846BE"/>
    <w:rsid w:val="32CD6C0D"/>
    <w:rsid w:val="330862AE"/>
    <w:rsid w:val="335304C7"/>
    <w:rsid w:val="336A3345"/>
    <w:rsid w:val="347563E4"/>
    <w:rsid w:val="34F66C66"/>
    <w:rsid w:val="35136169"/>
    <w:rsid w:val="35962478"/>
    <w:rsid w:val="36E53F40"/>
    <w:rsid w:val="375547A9"/>
    <w:rsid w:val="3833568A"/>
    <w:rsid w:val="38A81093"/>
    <w:rsid w:val="38DE6AF4"/>
    <w:rsid w:val="39044D56"/>
    <w:rsid w:val="3AA11727"/>
    <w:rsid w:val="3AB019BB"/>
    <w:rsid w:val="3AF909F7"/>
    <w:rsid w:val="3AF954F2"/>
    <w:rsid w:val="3B264382"/>
    <w:rsid w:val="3B297E34"/>
    <w:rsid w:val="3B3232B1"/>
    <w:rsid w:val="3B634D44"/>
    <w:rsid w:val="3BF2518C"/>
    <w:rsid w:val="3C1A05B5"/>
    <w:rsid w:val="3C5B4B6C"/>
    <w:rsid w:val="3CAE32FC"/>
    <w:rsid w:val="3CEE0ED5"/>
    <w:rsid w:val="3DDE3A44"/>
    <w:rsid w:val="3DDE591D"/>
    <w:rsid w:val="3DFF32F7"/>
    <w:rsid w:val="3E180779"/>
    <w:rsid w:val="3E4A2424"/>
    <w:rsid w:val="3E637686"/>
    <w:rsid w:val="3EAD28DA"/>
    <w:rsid w:val="3ECB6E8D"/>
    <w:rsid w:val="3F0756AE"/>
    <w:rsid w:val="3F2B2854"/>
    <w:rsid w:val="3F935A17"/>
    <w:rsid w:val="40256545"/>
    <w:rsid w:val="40610A0C"/>
    <w:rsid w:val="40A05C2C"/>
    <w:rsid w:val="419418D1"/>
    <w:rsid w:val="423943A2"/>
    <w:rsid w:val="42ED73DC"/>
    <w:rsid w:val="433D64A5"/>
    <w:rsid w:val="433F1D63"/>
    <w:rsid w:val="436B2BAA"/>
    <w:rsid w:val="43827ADD"/>
    <w:rsid w:val="43F46001"/>
    <w:rsid w:val="443E7CD6"/>
    <w:rsid w:val="44403926"/>
    <w:rsid w:val="448A2DF4"/>
    <w:rsid w:val="450B2E90"/>
    <w:rsid w:val="453660FB"/>
    <w:rsid w:val="461A0E30"/>
    <w:rsid w:val="464E5E96"/>
    <w:rsid w:val="46652B55"/>
    <w:rsid w:val="466A2D46"/>
    <w:rsid w:val="468C6049"/>
    <w:rsid w:val="471474A0"/>
    <w:rsid w:val="473F15FA"/>
    <w:rsid w:val="475343B3"/>
    <w:rsid w:val="47791417"/>
    <w:rsid w:val="478B4328"/>
    <w:rsid w:val="47AD0B58"/>
    <w:rsid w:val="47C90F46"/>
    <w:rsid w:val="47DE6651"/>
    <w:rsid w:val="47FE278F"/>
    <w:rsid w:val="48060B37"/>
    <w:rsid w:val="48E20F98"/>
    <w:rsid w:val="48FC3616"/>
    <w:rsid w:val="493C2D74"/>
    <w:rsid w:val="4A6228C5"/>
    <w:rsid w:val="4A8310DB"/>
    <w:rsid w:val="4A8C59AC"/>
    <w:rsid w:val="4A9B2ED6"/>
    <w:rsid w:val="4AB04B46"/>
    <w:rsid w:val="4B2F510A"/>
    <w:rsid w:val="4B6A7DF5"/>
    <w:rsid w:val="4B705B33"/>
    <w:rsid w:val="4BDC3F0A"/>
    <w:rsid w:val="4BE45F00"/>
    <w:rsid w:val="4BE95633"/>
    <w:rsid w:val="4C824A8D"/>
    <w:rsid w:val="4C8E3BCB"/>
    <w:rsid w:val="4CB96339"/>
    <w:rsid w:val="4D05013D"/>
    <w:rsid w:val="4D0F66AF"/>
    <w:rsid w:val="4D263E2A"/>
    <w:rsid w:val="4D296128"/>
    <w:rsid w:val="4D5C2462"/>
    <w:rsid w:val="4DC45C5A"/>
    <w:rsid w:val="4DFC04E7"/>
    <w:rsid w:val="4E124A97"/>
    <w:rsid w:val="4E5C0374"/>
    <w:rsid w:val="4E715A0C"/>
    <w:rsid w:val="4EE4431A"/>
    <w:rsid w:val="4F4C73DD"/>
    <w:rsid w:val="4FB157D4"/>
    <w:rsid w:val="503F5F18"/>
    <w:rsid w:val="5060174B"/>
    <w:rsid w:val="50783088"/>
    <w:rsid w:val="50FF7BE7"/>
    <w:rsid w:val="51B62613"/>
    <w:rsid w:val="51D75E57"/>
    <w:rsid w:val="51F60D9E"/>
    <w:rsid w:val="5202615B"/>
    <w:rsid w:val="52BC042E"/>
    <w:rsid w:val="52E3635F"/>
    <w:rsid w:val="52EB3C38"/>
    <w:rsid w:val="53504C0E"/>
    <w:rsid w:val="542C4D07"/>
    <w:rsid w:val="549300E8"/>
    <w:rsid w:val="549B7A82"/>
    <w:rsid w:val="54B17913"/>
    <w:rsid w:val="54EA1682"/>
    <w:rsid w:val="55B07159"/>
    <w:rsid w:val="55CB22B0"/>
    <w:rsid w:val="55D00ACF"/>
    <w:rsid w:val="55E5686A"/>
    <w:rsid w:val="56532D81"/>
    <w:rsid w:val="56A92487"/>
    <w:rsid w:val="56BE06F7"/>
    <w:rsid w:val="571504A5"/>
    <w:rsid w:val="572845DF"/>
    <w:rsid w:val="578F016B"/>
    <w:rsid w:val="579C5D0D"/>
    <w:rsid w:val="580E555E"/>
    <w:rsid w:val="5829255B"/>
    <w:rsid w:val="58326633"/>
    <w:rsid w:val="58575A53"/>
    <w:rsid w:val="58722287"/>
    <w:rsid w:val="58A244CF"/>
    <w:rsid w:val="595A4791"/>
    <w:rsid w:val="59744D22"/>
    <w:rsid w:val="599A75F7"/>
    <w:rsid w:val="59DA1534"/>
    <w:rsid w:val="59E12AE5"/>
    <w:rsid w:val="5A20056D"/>
    <w:rsid w:val="5A4C5F7A"/>
    <w:rsid w:val="5B913ABF"/>
    <w:rsid w:val="5B9E5FE6"/>
    <w:rsid w:val="5BD33695"/>
    <w:rsid w:val="5BFB2FD2"/>
    <w:rsid w:val="5C54439E"/>
    <w:rsid w:val="5C6B5FA4"/>
    <w:rsid w:val="5CC640C0"/>
    <w:rsid w:val="5D717788"/>
    <w:rsid w:val="5EEC013E"/>
    <w:rsid w:val="5EF53454"/>
    <w:rsid w:val="5FB25E22"/>
    <w:rsid w:val="5FD42601"/>
    <w:rsid w:val="60186951"/>
    <w:rsid w:val="602740AA"/>
    <w:rsid w:val="603114C5"/>
    <w:rsid w:val="606F3754"/>
    <w:rsid w:val="60851466"/>
    <w:rsid w:val="60B73B2D"/>
    <w:rsid w:val="60FC09C1"/>
    <w:rsid w:val="61524768"/>
    <w:rsid w:val="616B30FE"/>
    <w:rsid w:val="616F222F"/>
    <w:rsid w:val="618C00D8"/>
    <w:rsid w:val="62053638"/>
    <w:rsid w:val="620B0758"/>
    <w:rsid w:val="62245840"/>
    <w:rsid w:val="62B04351"/>
    <w:rsid w:val="630153CB"/>
    <w:rsid w:val="630C676D"/>
    <w:rsid w:val="63216590"/>
    <w:rsid w:val="63A556C3"/>
    <w:rsid w:val="63B9280E"/>
    <w:rsid w:val="63F147FE"/>
    <w:rsid w:val="64700E0A"/>
    <w:rsid w:val="647E441E"/>
    <w:rsid w:val="648413CF"/>
    <w:rsid w:val="648D09E7"/>
    <w:rsid w:val="65243C4A"/>
    <w:rsid w:val="654D70E1"/>
    <w:rsid w:val="65D654C8"/>
    <w:rsid w:val="65FC2BAD"/>
    <w:rsid w:val="65FD0C88"/>
    <w:rsid w:val="6608589E"/>
    <w:rsid w:val="665451AA"/>
    <w:rsid w:val="66A15B6F"/>
    <w:rsid w:val="66D2390E"/>
    <w:rsid w:val="66DC2444"/>
    <w:rsid w:val="66F221E2"/>
    <w:rsid w:val="6703139C"/>
    <w:rsid w:val="67961C51"/>
    <w:rsid w:val="681D3A5A"/>
    <w:rsid w:val="6825530A"/>
    <w:rsid w:val="68443002"/>
    <w:rsid w:val="68783D8E"/>
    <w:rsid w:val="688F6C4D"/>
    <w:rsid w:val="68FD1899"/>
    <w:rsid w:val="692D5E61"/>
    <w:rsid w:val="69B6226A"/>
    <w:rsid w:val="6A1B685B"/>
    <w:rsid w:val="6A7316FD"/>
    <w:rsid w:val="6AFC1562"/>
    <w:rsid w:val="6B5B6DE2"/>
    <w:rsid w:val="6B723CE0"/>
    <w:rsid w:val="6B8163D1"/>
    <w:rsid w:val="6BB50A5F"/>
    <w:rsid w:val="6C5C4B75"/>
    <w:rsid w:val="6C606C63"/>
    <w:rsid w:val="6C9A01CB"/>
    <w:rsid w:val="6D41556C"/>
    <w:rsid w:val="6D742D39"/>
    <w:rsid w:val="6DA533FB"/>
    <w:rsid w:val="6DC406FB"/>
    <w:rsid w:val="6EAB3F59"/>
    <w:rsid w:val="6EBD124F"/>
    <w:rsid w:val="6EF266FD"/>
    <w:rsid w:val="6F07131E"/>
    <w:rsid w:val="6F0D50A0"/>
    <w:rsid w:val="6F2F33BF"/>
    <w:rsid w:val="6FF15AB6"/>
    <w:rsid w:val="706F2B58"/>
    <w:rsid w:val="70774EB1"/>
    <w:rsid w:val="70C62E77"/>
    <w:rsid w:val="719C266A"/>
    <w:rsid w:val="71FA59F0"/>
    <w:rsid w:val="72026762"/>
    <w:rsid w:val="7217547F"/>
    <w:rsid w:val="72222EC1"/>
    <w:rsid w:val="72923B46"/>
    <w:rsid w:val="72ED1321"/>
    <w:rsid w:val="72FF7B3D"/>
    <w:rsid w:val="73124070"/>
    <w:rsid w:val="736A0D38"/>
    <w:rsid w:val="737A329C"/>
    <w:rsid w:val="73DC3915"/>
    <w:rsid w:val="74470997"/>
    <w:rsid w:val="747C1EC8"/>
    <w:rsid w:val="749D79AC"/>
    <w:rsid w:val="74BD355F"/>
    <w:rsid w:val="74EA6C78"/>
    <w:rsid w:val="7596658B"/>
    <w:rsid w:val="7616699B"/>
    <w:rsid w:val="766737B1"/>
    <w:rsid w:val="76812662"/>
    <w:rsid w:val="78B8464B"/>
    <w:rsid w:val="796E3F04"/>
    <w:rsid w:val="79C55164"/>
    <w:rsid w:val="79F76A28"/>
    <w:rsid w:val="7A502382"/>
    <w:rsid w:val="7A805CCE"/>
    <w:rsid w:val="7AB734CF"/>
    <w:rsid w:val="7AC7247E"/>
    <w:rsid w:val="7B52249B"/>
    <w:rsid w:val="7BB064D0"/>
    <w:rsid w:val="7C36755A"/>
    <w:rsid w:val="7C406246"/>
    <w:rsid w:val="7C7F6AEB"/>
    <w:rsid w:val="7C9A2CFA"/>
    <w:rsid w:val="7D220D40"/>
    <w:rsid w:val="7DA70863"/>
    <w:rsid w:val="7E4C5099"/>
    <w:rsid w:val="7EFC6262"/>
    <w:rsid w:val="7F261654"/>
    <w:rsid w:val="7F586704"/>
    <w:rsid w:val="7FC979A2"/>
    <w:rsid w:val="7FCB00FF"/>
    <w:rsid w:val="7FDE5D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zh-CN" w:bidi="ar-SA"/>
    </w:rPr>
  </w:style>
  <w:style w:type="paragraph" w:styleId="2">
    <w:name w:val="heading 1"/>
    <w:basedOn w:val="1"/>
    <w:next w:val="1"/>
    <w:link w:val="24"/>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25"/>
    <w:semiHidden/>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4">
    <w:name w:val="heading 3"/>
    <w:basedOn w:val="1"/>
    <w:next w:val="1"/>
    <w:link w:val="26"/>
    <w:semiHidden/>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5">
    <w:name w:val="heading 4"/>
    <w:basedOn w:val="1"/>
    <w:next w:val="1"/>
    <w:link w:val="27"/>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6">
    <w:name w:val="heading 5"/>
    <w:basedOn w:val="1"/>
    <w:next w:val="1"/>
    <w:link w:val="28"/>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7">
    <w:name w:val="heading 6"/>
    <w:basedOn w:val="1"/>
    <w:next w:val="1"/>
    <w:link w:val="29"/>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8">
    <w:name w:val="heading 7"/>
    <w:basedOn w:val="1"/>
    <w:next w:val="1"/>
    <w:link w:val="30"/>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31"/>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0">
    <w:name w:val="heading 9"/>
    <w:basedOn w:val="1"/>
    <w:next w:val="1"/>
    <w:link w:val="32"/>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2">
    <w:name w:val="Body Text"/>
    <w:basedOn w:val="1"/>
    <w:link w:val="34"/>
    <w:qFormat/>
    <w:uiPriority w:val="1"/>
    <w:rPr>
      <w:rFonts w:ascii="宋体" w:hAnsi="宋体" w:cs="宋体"/>
      <w:lang w:eastAsia="en-US"/>
    </w:rPr>
  </w:style>
  <w:style w:type="paragraph" w:styleId="13">
    <w:name w:val="Body Text Indent"/>
    <w:basedOn w:val="1"/>
    <w:link w:val="49"/>
    <w:qFormat/>
    <w:uiPriority w:val="0"/>
    <w:pPr>
      <w:widowControl w:val="0"/>
      <w:spacing w:after="0" w:line="240" w:lineRule="auto"/>
      <w:ind w:firstLine="540"/>
      <w:jc w:val="both"/>
    </w:pPr>
    <w:rPr>
      <w:rFonts w:eastAsia="宋体"/>
      <w:kern w:val="2"/>
      <w:sz w:val="28"/>
    </w:rPr>
  </w:style>
  <w:style w:type="paragraph" w:styleId="14">
    <w:name w:val="Plain Text"/>
    <w:basedOn w:val="1"/>
    <w:link w:val="36"/>
    <w:qFormat/>
    <w:uiPriority w:val="0"/>
    <w:pPr>
      <w:jc w:val="both"/>
    </w:pPr>
    <w:rPr>
      <w:rFonts w:ascii="宋体" w:hAnsi="Courier New" w:cs="Courier New"/>
      <w:sz w:val="21"/>
      <w:szCs w:val="21"/>
    </w:rPr>
  </w:style>
  <w:style w:type="paragraph" w:styleId="15">
    <w:name w:val="footer"/>
    <w:basedOn w:val="1"/>
    <w:link w:val="52"/>
    <w:qFormat/>
    <w:uiPriority w:val="0"/>
    <w:pPr>
      <w:tabs>
        <w:tab w:val="center" w:pos="4153"/>
        <w:tab w:val="right" w:pos="8306"/>
      </w:tabs>
      <w:snapToGrid w:val="0"/>
      <w:spacing w:line="240" w:lineRule="auto"/>
    </w:pPr>
    <w:rPr>
      <w:sz w:val="18"/>
      <w:szCs w:val="18"/>
    </w:rPr>
  </w:style>
  <w:style w:type="paragraph" w:styleId="16">
    <w:name w:val="header"/>
    <w:basedOn w:val="1"/>
    <w:link w:val="51"/>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7">
    <w:name w:val="Subtitle"/>
    <w:basedOn w:val="1"/>
    <w:next w:val="1"/>
    <w:link w:val="35"/>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8">
    <w:name w:val="Title"/>
    <w:basedOn w:val="1"/>
    <w:next w:val="1"/>
    <w:link w:val="33"/>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20">
    <w:name w:val="Table Grid"/>
    <w:basedOn w:val="1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b/>
      <w:bCs/>
    </w:rPr>
  </w:style>
  <w:style w:type="character" w:styleId="23">
    <w:name w:val="Emphasis"/>
    <w:basedOn w:val="21"/>
    <w:qFormat/>
    <w:uiPriority w:val="20"/>
    <w:rPr>
      <w:i/>
      <w:iCs/>
    </w:rPr>
  </w:style>
  <w:style w:type="character" w:customStyle="1" w:styleId="24">
    <w:name w:val="标题 1 Char"/>
    <w:basedOn w:val="21"/>
    <w:link w:val="2"/>
    <w:qFormat/>
    <w:uiPriority w:val="9"/>
    <w:rPr>
      <w:rFonts w:asciiTheme="majorHAnsi" w:hAnsiTheme="majorHAnsi" w:eastAsiaTheme="majorEastAsia" w:cstheme="majorBidi"/>
      <w:b/>
      <w:bCs/>
      <w:color w:val="376092" w:themeColor="accent1" w:themeShade="BF"/>
      <w:sz w:val="28"/>
      <w:szCs w:val="28"/>
    </w:rPr>
  </w:style>
  <w:style w:type="character" w:customStyle="1" w:styleId="25">
    <w:name w:val="标题 2 Char"/>
    <w:basedOn w:val="21"/>
    <w:link w:val="3"/>
    <w:semiHidden/>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26">
    <w:name w:val="标题 3 Char"/>
    <w:basedOn w:val="21"/>
    <w:link w:val="4"/>
    <w:semiHidden/>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27">
    <w:name w:val="标题 4 Char"/>
    <w:basedOn w:val="21"/>
    <w:link w:val="5"/>
    <w:semiHidden/>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28">
    <w:name w:val="标题 5 Char"/>
    <w:basedOn w:val="21"/>
    <w:link w:val="6"/>
    <w:semiHidden/>
    <w:qFormat/>
    <w:uiPriority w:val="9"/>
    <w:rPr>
      <w:rFonts w:asciiTheme="majorHAnsi" w:hAnsiTheme="majorHAnsi" w:eastAsiaTheme="majorEastAsia" w:cstheme="majorBidi"/>
      <w:color w:val="254061" w:themeColor="accent1" w:themeShade="80"/>
    </w:rPr>
  </w:style>
  <w:style w:type="character" w:customStyle="1" w:styleId="29">
    <w:name w:val="标题 6 Char"/>
    <w:basedOn w:val="21"/>
    <w:link w:val="7"/>
    <w:semiHidden/>
    <w:qFormat/>
    <w:uiPriority w:val="9"/>
    <w:rPr>
      <w:rFonts w:asciiTheme="majorHAnsi" w:hAnsiTheme="majorHAnsi" w:eastAsiaTheme="majorEastAsia" w:cstheme="majorBidi"/>
      <w:i/>
      <w:iCs/>
      <w:color w:val="254061" w:themeColor="accent1" w:themeShade="80"/>
    </w:rPr>
  </w:style>
  <w:style w:type="character" w:customStyle="1" w:styleId="30">
    <w:name w:val="标题 7 Char"/>
    <w:basedOn w:val="21"/>
    <w:link w:val="8"/>
    <w:semiHidden/>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31">
    <w:name w:val="标题 8 Char"/>
    <w:basedOn w:val="21"/>
    <w:link w:val="9"/>
    <w:semiHidden/>
    <w:qFormat/>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32">
    <w:name w:val="标题 9 Char"/>
    <w:basedOn w:val="21"/>
    <w:link w:val="10"/>
    <w:semiHidden/>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customStyle="1" w:styleId="33">
    <w:name w:val="标题 Char"/>
    <w:basedOn w:val="21"/>
    <w:link w:val="18"/>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34">
    <w:name w:val="正文文本 Char"/>
    <w:basedOn w:val="21"/>
    <w:link w:val="12"/>
    <w:qFormat/>
    <w:uiPriority w:val="1"/>
    <w:rPr>
      <w:rFonts w:ascii="宋体" w:hAnsi="宋体" w:cs="宋体"/>
      <w:lang w:eastAsia="en-US"/>
    </w:rPr>
  </w:style>
  <w:style w:type="character" w:customStyle="1" w:styleId="35">
    <w:name w:val="副标题 Char"/>
    <w:basedOn w:val="21"/>
    <w:link w:val="17"/>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character" w:customStyle="1" w:styleId="36">
    <w:name w:val="纯文本 Char"/>
    <w:basedOn w:val="21"/>
    <w:link w:val="14"/>
    <w:qFormat/>
    <w:uiPriority w:val="0"/>
    <w:rPr>
      <w:rFonts w:ascii="宋体" w:hAnsi="Courier New" w:cs="Courier New"/>
      <w:sz w:val="21"/>
      <w:szCs w:val="21"/>
    </w:rPr>
  </w:style>
  <w:style w:type="paragraph" w:styleId="37">
    <w:name w:val="No Spacing"/>
    <w:qFormat/>
    <w:uiPriority w:val="1"/>
    <w:rPr>
      <w:rFonts w:asciiTheme="minorHAnsi" w:hAnsiTheme="minorHAnsi" w:eastAsiaTheme="minorEastAsia" w:cstheme="minorBidi"/>
      <w:sz w:val="22"/>
      <w:szCs w:val="22"/>
      <w:lang w:val="en-US" w:eastAsia="zh-CN" w:bidi="ar-SA"/>
    </w:rPr>
  </w:style>
  <w:style w:type="paragraph" w:styleId="38">
    <w:name w:val="List Paragraph"/>
    <w:basedOn w:val="1"/>
    <w:qFormat/>
    <w:uiPriority w:val="34"/>
    <w:pPr>
      <w:ind w:left="720"/>
      <w:contextualSpacing/>
    </w:pPr>
  </w:style>
  <w:style w:type="paragraph" w:styleId="39">
    <w:name w:val="Quote"/>
    <w:basedOn w:val="1"/>
    <w:next w:val="1"/>
    <w:link w:val="40"/>
    <w:qFormat/>
    <w:uiPriority w:val="29"/>
    <w:rPr>
      <w:i/>
      <w:iCs/>
      <w:color w:val="000000" w:themeColor="text1"/>
      <w14:textFill>
        <w14:solidFill>
          <w14:schemeClr w14:val="tx1"/>
        </w14:solidFill>
      </w14:textFill>
    </w:rPr>
  </w:style>
  <w:style w:type="character" w:customStyle="1" w:styleId="40">
    <w:name w:val="引用 Char"/>
    <w:basedOn w:val="21"/>
    <w:link w:val="39"/>
    <w:qFormat/>
    <w:uiPriority w:val="29"/>
    <w:rPr>
      <w:i/>
      <w:iCs/>
      <w:color w:val="000000" w:themeColor="text1"/>
      <w14:textFill>
        <w14:solidFill>
          <w14:schemeClr w14:val="tx1"/>
        </w14:solidFill>
      </w14:textFill>
    </w:rPr>
  </w:style>
  <w:style w:type="paragraph" w:styleId="41">
    <w:name w:val="Intense Quote"/>
    <w:basedOn w:val="1"/>
    <w:next w:val="1"/>
    <w:link w:val="42"/>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42">
    <w:name w:val="明显引用 Char"/>
    <w:basedOn w:val="21"/>
    <w:link w:val="41"/>
    <w:qFormat/>
    <w:uiPriority w:val="30"/>
    <w:rPr>
      <w:b/>
      <w:bCs/>
      <w:i/>
      <w:iCs/>
      <w:color w:val="4F81BD" w:themeColor="accent1"/>
      <w14:textFill>
        <w14:solidFill>
          <w14:schemeClr w14:val="accent1"/>
        </w14:solidFill>
      </w14:textFill>
    </w:rPr>
  </w:style>
  <w:style w:type="character" w:customStyle="1" w:styleId="43">
    <w:name w:val="不明显强调1"/>
    <w:basedOn w:val="21"/>
    <w:qFormat/>
    <w:uiPriority w:val="19"/>
    <w:rPr>
      <w:i/>
      <w:iCs/>
      <w:color w:val="808080" w:themeColor="text1" w:themeTint="80"/>
      <w14:textFill>
        <w14:solidFill>
          <w14:schemeClr w14:val="tx1">
            <w14:lumMod w14:val="50000"/>
            <w14:lumOff w14:val="50000"/>
          </w14:schemeClr>
        </w14:solidFill>
      </w14:textFill>
    </w:rPr>
  </w:style>
  <w:style w:type="character" w:customStyle="1" w:styleId="44">
    <w:name w:val="明显强调1"/>
    <w:basedOn w:val="21"/>
    <w:qFormat/>
    <w:uiPriority w:val="21"/>
    <w:rPr>
      <w:b/>
      <w:bCs/>
      <w:i/>
      <w:iCs/>
      <w:color w:val="4F81BD" w:themeColor="accent1"/>
      <w14:textFill>
        <w14:solidFill>
          <w14:schemeClr w14:val="accent1"/>
        </w14:solidFill>
      </w14:textFill>
    </w:rPr>
  </w:style>
  <w:style w:type="character" w:customStyle="1" w:styleId="45">
    <w:name w:val="不明显参考1"/>
    <w:basedOn w:val="21"/>
    <w:qFormat/>
    <w:uiPriority w:val="31"/>
    <w:rPr>
      <w:smallCaps/>
      <w:color w:val="C0504D" w:themeColor="accent2"/>
      <w:u w:val="single"/>
      <w14:textFill>
        <w14:solidFill>
          <w14:schemeClr w14:val="accent2"/>
        </w14:solidFill>
      </w14:textFill>
    </w:rPr>
  </w:style>
  <w:style w:type="character" w:customStyle="1" w:styleId="46">
    <w:name w:val="明显参考1"/>
    <w:basedOn w:val="21"/>
    <w:qFormat/>
    <w:uiPriority w:val="32"/>
    <w:rPr>
      <w:b/>
      <w:bCs/>
      <w:smallCaps/>
      <w:color w:val="C0504D" w:themeColor="accent2"/>
      <w:spacing w:val="5"/>
      <w:u w:val="single"/>
      <w14:textFill>
        <w14:solidFill>
          <w14:schemeClr w14:val="accent2"/>
        </w14:solidFill>
      </w14:textFill>
    </w:rPr>
  </w:style>
  <w:style w:type="character" w:customStyle="1" w:styleId="47">
    <w:name w:val="书籍标题1"/>
    <w:basedOn w:val="21"/>
    <w:qFormat/>
    <w:uiPriority w:val="33"/>
    <w:rPr>
      <w:b/>
      <w:bCs/>
      <w:smallCaps/>
      <w:spacing w:val="5"/>
    </w:rPr>
  </w:style>
  <w:style w:type="paragraph" w:customStyle="1" w:styleId="48">
    <w:name w:val="TOC 标题1"/>
    <w:basedOn w:val="2"/>
    <w:next w:val="1"/>
    <w:semiHidden/>
    <w:unhideWhenUsed/>
    <w:qFormat/>
    <w:uiPriority w:val="39"/>
    <w:pPr>
      <w:outlineLvl w:val="9"/>
    </w:pPr>
  </w:style>
  <w:style w:type="character" w:customStyle="1" w:styleId="49">
    <w:name w:val="正文文本缩进 Char"/>
    <w:link w:val="13"/>
    <w:qFormat/>
    <w:uiPriority w:val="0"/>
    <w:rPr>
      <w:rFonts w:eastAsia="宋体"/>
      <w:kern w:val="2"/>
      <w:sz w:val="28"/>
    </w:rPr>
  </w:style>
  <w:style w:type="character" w:customStyle="1" w:styleId="50">
    <w:name w:val="正文文本缩进 Char1"/>
    <w:basedOn w:val="21"/>
    <w:qFormat/>
    <w:uiPriority w:val="0"/>
  </w:style>
  <w:style w:type="character" w:customStyle="1" w:styleId="51">
    <w:name w:val="页眉 Char"/>
    <w:basedOn w:val="21"/>
    <w:link w:val="16"/>
    <w:qFormat/>
    <w:uiPriority w:val="0"/>
    <w:rPr>
      <w:sz w:val="18"/>
      <w:szCs w:val="18"/>
    </w:rPr>
  </w:style>
  <w:style w:type="character" w:customStyle="1" w:styleId="52">
    <w:name w:val="页脚 Char"/>
    <w:basedOn w:val="21"/>
    <w:link w:val="15"/>
    <w:qFormat/>
    <w:uiPriority w:val="0"/>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安徽影联云享医疗科技有限公司</Company>
  <Pages>3</Pages>
  <Words>2205</Words>
  <Characters>2283</Characters>
  <Lines>25</Lines>
  <Paragraphs>7</Paragraphs>
  <TotalTime>22</TotalTime>
  <ScaleCrop>false</ScaleCrop>
  <LinksUpToDate>false</LinksUpToDate>
  <CharactersWithSpaces>2312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2020-07-14T01:33:00Z</dcterms:created>
  <dc:creator>汤岚凤</dc:creator>
  <cp:lastModifiedBy>不想起名字</cp:lastModifiedBy>
  <dcterms:modified xsi:type="dcterms:W3CDTF">2024-12-05T03:14:29Z</dcterms:modified>
  <dc:title>软件生存周期过程控制程序</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DE928A33B21043DEBB101A40469D3727</vt:lpwstr>
  </property>
</Properties>
</file>